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154F9" w14:textId="77777777" w:rsidR="00E91848" w:rsidRDefault="00E25C2A">
      <w:pPr>
        <w:pStyle w:val="Tijeloteksta"/>
        <w:ind w:left="106"/>
        <w:rPr>
          <w:sz w:val="20"/>
        </w:rPr>
      </w:pPr>
      <w:r>
        <w:rPr>
          <w:sz w:val="20"/>
        </w:rPr>
      </w:r>
      <w:r>
        <w:rPr>
          <w:sz w:val="20"/>
        </w:rPr>
        <w:pict w14:anchorId="4A17DF3E">
          <v:group id="_x0000_s1031" style="width:510.25pt;height:24.75pt;mso-position-horizontal-relative:char;mso-position-vertical-relative:line" coordsize="10205,495">
            <v:rect id="_x0000_s1034" style="position:absolute;top:10;width:10205;height:480" fillcolor="#e6e6e6" stroked="f"/>
            <v:shape id="_x0000_s1033" style="position:absolute;left:1;top:5;width:10204;height:485" coordorigin="1,5" coordsize="10204,485" o:spt="100" adj="0,,0" path="m1,5r10204,m1,490r10204,e" filled="f" strokeweight=".5pt">
              <v:stroke joinstyle="round"/>
              <v:formulas/>
              <v:path arrowok="t" o:connecttype="segments"/>
            </v:shape>
            <v:shapetype id="_x0000_t202" coordsize="21600,21600" o:spt="202" path="m,l,21600r21600,l21600,xe">
              <v:stroke joinstyle="miter"/>
              <v:path gradientshapeok="t" o:connecttype="rect"/>
            </v:shapetype>
            <v:shape id="_x0000_s1032" type="#_x0000_t202" style="position:absolute;top:10;width:10205;height:475" filled="f" stroked="f">
              <v:textbox style="mso-next-textbox:#_x0000_s1032" inset="0,0,0,0">
                <w:txbxContent>
                  <w:p w14:paraId="29E7E689" w14:textId="1458D88A" w:rsidR="00E91848" w:rsidRPr="00A415B9" w:rsidRDefault="007E1FF5">
                    <w:pPr>
                      <w:spacing w:before="130"/>
                      <w:rPr>
                        <w:b/>
                        <w:sz w:val="24"/>
                        <w:szCs w:val="24"/>
                      </w:rPr>
                    </w:pPr>
                    <w:r w:rsidRPr="00A415B9">
                      <w:rPr>
                        <w:b/>
                        <w:spacing w:val="16"/>
                        <w:sz w:val="24"/>
                        <w:szCs w:val="24"/>
                      </w:rPr>
                      <w:t>1097</w:t>
                    </w:r>
                    <w:r w:rsidR="008E44E1" w:rsidRPr="00A415B9">
                      <w:rPr>
                        <w:b/>
                        <w:spacing w:val="16"/>
                        <w:sz w:val="24"/>
                        <w:szCs w:val="24"/>
                      </w:rPr>
                      <w:t>5</w:t>
                    </w:r>
                    <w:r w:rsidR="00E34DE2" w:rsidRPr="00A415B9">
                      <w:rPr>
                        <w:b/>
                        <w:spacing w:val="41"/>
                        <w:sz w:val="24"/>
                        <w:szCs w:val="24"/>
                      </w:rPr>
                      <w:t xml:space="preserve"> </w:t>
                    </w:r>
                    <w:r w:rsidRPr="00A415B9">
                      <w:rPr>
                        <w:b/>
                        <w:spacing w:val="16"/>
                        <w:sz w:val="24"/>
                        <w:szCs w:val="24"/>
                      </w:rPr>
                      <w:t>Županijsko</w:t>
                    </w:r>
                    <w:r w:rsidR="007D31F7" w:rsidRPr="00A415B9">
                      <w:rPr>
                        <w:b/>
                        <w:spacing w:val="16"/>
                        <w:sz w:val="24"/>
                        <w:szCs w:val="24"/>
                      </w:rPr>
                      <w:t xml:space="preserve"> državno odvjetništvo u </w:t>
                    </w:r>
                    <w:r w:rsidR="00E34DE2" w:rsidRPr="00A415B9">
                      <w:rPr>
                        <w:b/>
                        <w:spacing w:val="19"/>
                        <w:sz w:val="24"/>
                        <w:szCs w:val="24"/>
                      </w:rPr>
                      <w:t>Osijek</w:t>
                    </w:r>
                    <w:r w:rsidR="007D31F7" w:rsidRPr="00A415B9">
                      <w:rPr>
                        <w:b/>
                        <w:spacing w:val="19"/>
                        <w:sz w:val="24"/>
                        <w:szCs w:val="24"/>
                      </w:rPr>
                      <w:t>u</w:t>
                    </w:r>
                  </w:p>
                </w:txbxContent>
              </v:textbox>
            </v:shape>
            <w10:wrap type="none"/>
            <w10:anchorlock/>
          </v:group>
        </w:pict>
      </w:r>
    </w:p>
    <w:p w14:paraId="57790BAD" w14:textId="77777777" w:rsidR="007D31F7" w:rsidRDefault="007D31F7">
      <w:pPr>
        <w:pStyle w:val="Tijeloteksta"/>
        <w:ind w:left="106"/>
        <w:rPr>
          <w:sz w:val="20"/>
        </w:rPr>
      </w:pPr>
    </w:p>
    <w:p w14:paraId="0B5C7177" w14:textId="77777777" w:rsidR="00BB0C44" w:rsidRDefault="00BB0C44">
      <w:pPr>
        <w:pStyle w:val="Tijeloteksta"/>
        <w:ind w:left="106"/>
        <w:rPr>
          <w:sz w:val="20"/>
        </w:rPr>
      </w:pPr>
    </w:p>
    <w:p w14:paraId="798D72F5" w14:textId="7BFCA1AA" w:rsidR="007D31F7" w:rsidRPr="00511FA0" w:rsidRDefault="00982222" w:rsidP="00982222">
      <w:pPr>
        <w:pStyle w:val="Tijeloteksta"/>
        <w:rPr>
          <w:rFonts w:ascii="Arial" w:hAnsi="Arial" w:cs="Arial"/>
          <w:sz w:val="24"/>
          <w:szCs w:val="24"/>
        </w:rPr>
      </w:pPr>
      <w:r w:rsidRPr="00511FA0">
        <w:rPr>
          <w:rFonts w:ascii="Arial" w:hAnsi="Arial" w:cs="Arial"/>
          <w:sz w:val="24"/>
          <w:szCs w:val="24"/>
        </w:rPr>
        <w:t xml:space="preserve">Razdjel: </w:t>
      </w:r>
      <w:r w:rsidR="008E44E1" w:rsidRPr="00511FA0">
        <w:rPr>
          <w:rFonts w:ascii="Arial" w:hAnsi="Arial" w:cs="Arial"/>
          <w:sz w:val="24"/>
          <w:szCs w:val="24"/>
        </w:rPr>
        <w:t xml:space="preserve">   </w:t>
      </w:r>
      <w:r w:rsidRPr="00511FA0">
        <w:rPr>
          <w:rFonts w:ascii="Arial" w:hAnsi="Arial" w:cs="Arial"/>
          <w:sz w:val="24"/>
          <w:szCs w:val="24"/>
        </w:rPr>
        <w:t>109 MINISTARSTVO PRAVOSUĐA I UPRAVE</w:t>
      </w:r>
    </w:p>
    <w:p w14:paraId="5C70AB8A" w14:textId="06759240" w:rsidR="00982222" w:rsidRPr="00511FA0" w:rsidRDefault="00982222" w:rsidP="00982222">
      <w:pPr>
        <w:pStyle w:val="Tijeloteksta"/>
        <w:rPr>
          <w:rFonts w:ascii="Arial" w:hAnsi="Arial" w:cs="Arial"/>
          <w:sz w:val="24"/>
          <w:szCs w:val="24"/>
        </w:rPr>
      </w:pPr>
      <w:r w:rsidRPr="00511FA0">
        <w:rPr>
          <w:rFonts w:ascii="Arial" w:hAnsi="Arial" w:cs="Arial"/>
          <w:sz w:val="24"/>
          <w:szCs w:val="24"/>
        </w:rPr>
        <w:t>Glava</w:t>
      </w:r>
      <w:r w:rsidR="008E44E1" w:rsidRPr="00511FA0">
        <w:rPr>
          <w:rFonts w:ascii="Arial" w:hAnsi="Arial" w:cs="Arial"/>
          <w:sz w:val="24"/>
          <w:szCs w:val="24"/>
        </w:rPr>
        <w:t xml:space="preserve">:   </w:t>
      </w:r>
      <w:r w:rsidRPr="00511FA0">
        <w:rPr>
          <w:rFonts w:ascii="Arial" w:hAnsi="Arial" w:cs="Arial"/>
          <w:sz w:val="24"/>
          <w:szCs w:val="24"/>
        </w:rPr>
        <w:t xml:space="preserve"> </w:t>
      </w:r>
      <w:r w:rsidR="008E44E1" w:rsidRPr="00511FA0">
        <w:rPr>
          <w:rFonts w:ascii="Arial" w:hAnsi="Arial" w:cs="Arial"/>
          <w:sz w:val="24"/>
          <w:szCs w:val="24"/>
        </w:rPr>
        <w:t xml:space="preserve">   </w:t>
      </w:r>
      <w:r w:rsidR="007E1FF5">
        <w:rPr>
          <w:rFonts w:ascii="Arial" w:hAnsi="Arial" w:cs="Arial"/>
          <w:sz w:val="24"/>
          <w:szCs w:val="24"/>
        </w:rPr>
        <w:t>10975 ŽUPANIJSKO</w:t>
      </w:r>
      <w:r w:rsidRPr="00511FA0">
        <w:rPr>
          <w:rFonts w:ascii="Arial" w:hAnsi="Arial" w:cs="Arial"/>
          <w:sz w:val="24"/>
          <w:szCs w:val="24"/>
        </w:rPr>
        <w:t xml:space="preserve"> DRŽAVNO ODVJETNIŠTVO U OSIJEKU</w:t>
      </w:r>
    </w:p>
    <w:p w14:paraId="1D0392A6" w14:textId="4A47FCF5" w:rsidR="006604FC" w:rsidRPr="00511FA0" w:rsidRDefault="00743C3F" w:rsidP="006604FC">
      <w:pPr>
        <w:rPr>
          <w:rFonts w:ascii="Arial" w:hAnsi="Arial" w:cs="Arial"/>
          <w:sz w:val="24"/>
          <w:szCs w:val="24"/>
          <w:lang w:eastAsia="hr-HR"/>
        </w:rPr>
      </w:pPr>
      <w:r>
        <w:rPr>
          <w:rFonts w:ascii="Arial" w:hAnsi="Arial" w:cs="Arial"/>
          <w:sz w:val="24"/>
          <w:szCs w:val="24"/>
        </w:rPr>
        <w:t>Aktivnost:  A640</w:t>
      </w:r>
      <w:r w:rsidR="008E44E1" w:rsidRPr="00511FA0">
        <w:rPr>
          <w:rFonts w:ascii="Arial" w:hAnsi="Arial" w:cs="Arial"/>
          <w:sz w:val="24"/>
          <w:szCs w:val="24"/>
        </w:rPr>
        <w:t>000</w:t>
      </w:r>
      <w:r w:rsidR="006604FC" w:rsidRPr="00511FA0">
        <w:rPr>
          <w:rFonts w:ascii="Arial" w:hAnsi="Arial" w:cs="Arial"/>
          <w:sz w:val="24"/>
          <w:szCs w:val="24"/>
        </w:rPr>
        <w:t xml:space="preserve"> </w:t>
      </w:r>
      <w:r w:rsidR="006604FC" w:rsidRPr="00511FA0">
        <w:rPr>
          <w:rFonts w:ascii="Arial" w:hAnsi="Arial" w:cs="Arial"/>
          <w:sz w:val="24"/>
          <w:szCs w:val="24"/>
          <w:lang w:eastAsia="hr-HR"/>
        </w:rPr>
        <w:t>PROGON POČINITELJA KAZNENIH I KAŽNJIVIH DJELA I ZAŠTITA IMOVINE RH PRED NADLEŽNIM SUDOVIMA I TIJELIMA</w:t>
      </w:r>
    </w:p>
    <w:p w14:paraId="1FD783A4" w14:textId="77777777" w:rsidR="003F41D0" w:rsidRPr="00511FA0" w:rsidRDefault="003F41D0" w:rsidP="006604FC">
      <w:pPr>
        <w:rPr>
          <w:rFonts w:ascii="Arial" w:hAnsi="Arial" w:cs="Arial"/>
          <w:sz w:val="24"/>
          <w:szCs w:val="24"/>
          <w:lang w:eastAsia="hr-HR"/>
        </w:rPr>
      </w:pPr>
    </w:p>
    <w:p w14:paraId="0EE2DA97" w14:textId="77777777" w:rsidR="00616193" w:rsidRPr="00511FA0" w:rsidRDefault="00616193" w:rsidP="006604FC">
      <w:pPr>
        <w:rPr>
          <w:rFonts w:ascii="Arial" w:hAnsi="Arial" w:cs="Arial"/>
          <w:sz w:val="24"/>
          <w:szCs w:val="24"/>
          <w:lang w:eastAsia="hr-HR"/>
        </w:rPr>
      </w:pPr>
    </w:p>
    <w:p w14:paraId="7C4C04AE" w14:textId="77777777" w:rsidR="00BB0C44" w:rsidRDefault="00BB0C44" w:rsidP="006604FC">
      <w:pPr>
        <w:rPr>
          <w:rFonts w:ascii="Arial" w:hAnsi="Arial" w:cs="Arial"/>
          <w:sz w:val="24"/>
          <w:szCs w:val="24"/>
          <w:lang w:eastAsia="hr-HR"/>
        </w:rPr>
      </w:pPr>
    </w:p>
    <w:p w14:paraId="72F76EFF" w14:textId="77777777" w:rsidR="004F258D" w:rsidRDefault="004F258D" w:rsidP="006604FC">
      <w:pPr>
        <w:rPr>
          <w:rFonts w:ascii="Arial" w:hAnsi="Arial" w:cs="Arial"/>
          <w:sz w:val="24"/>
          <w:szCs w:val="24"/>
          <w:lang w:eastAsia="hr-HR"/>
        </w:rPr>
      </w:pPr>
    </w:p>
    <w:p w14:paraId="196A3097" w14:textId="77777777" w:rsidR="004F258D" w:rsidRPr="00511FA0" w:rsidRDefault="004F258D" w:rsidP="006604FC">
      <w:pPr>
        <w:rPr>
          <w:rFonts w:ascii="Arial" w:hAnsi="Arial" w:cs="Arial"/>
          <w:sz w:val="24"/>
          <w:szCs w:val="24"/>
          <w:lang w:eastAsia="hr-HR"/>
        </w:rPr>
      </w:pPr>
    </w:p>
    <w:p w14:paraId="15691BD8" w14:textId="1FF1C8EF" w:rsidR="008E44E1" w:rsidRPr="00511FA0" w:rsidRDefault="008E44E1" w:rsidP="00982222">
      <w:pPr>
        <w:pStyle w:val="Tijeloteksta"/>
        <w:rPr>
          <w:rFonts w:ascii="Arial" w:hAnsi="Arial" w:cs="Arial"/>
          <w:sz w:val="24"/>
          <w:szCs w:val="24"/>
        </w:rPr>
      </w:pPr>
    </w:p>
    <w:p w14:paraId="2FE89AA3" w14:textId="7EDF4E1C" w:rsidR="00616193" w:rsidRPr="00D418A2" w:rsidRDefault="00BB0C44" w:rsidP="00437659">
      <w:pPr>
        <w:pStyle w:val="Tijeloteksta"/>
        <w:jc w:val="center"/>
        <w:rPr>
          <w:sz w:val="24"/>
          <w:szCs w:val="24"/>
        </w:rPr>
      </w:pPr>
      <w:r w:rsidRPr="00A415B9">
        <w:rPr>
          <w:b/>
          <w:sz w:val="24"/>
          <w:szCs w:val="24"/>
        </w:rPr>
        <w:t xml:space="preserve">OBRAZLOŽENJE POSEBNOG DIJELA </w:t>
      </w:r>
      <w:bookmarkStart w:id="0" w:name="_GoBack"/>
      <w:bookmarkEnd w:id="0"/>
      <w:r w:rsidR="00437659" w:rsidRPr="00A415B9">
        <w:rPr>
          <w:b/>
          <w:sz w:val="24"/>
          <w:szCs w:val="24"/>
        </w:rPr>
        <w:t>GODIŠNJEG IZVJEŠTAJA O IZVRŠENJU PRORAČUNA I FINANCIJSKOG PLANA</w:t>
      </w:r>
      <w:r w:rsidR="00D418A2">
        <w:rPr>
          <w:b/>
          <w:sz w:val="24"/>
          <w:szCs w:val="24"/>
        </w:rPr>
        <w:t xml:space="preserve"> </w:t>
      </w:r>
      <w:r w:rsidR="00D418A2" w:rsidRPr="00D418A2">
        <w:rPr>
          <w:b/>
          <w:sz w:val="24"/>
          <w:szCs w:val="24"/>
        </w:rPr>
        <w:t>ZA 2023. GODINU</w:t>
      </w:r>
    </w:p>
    <w:p w14:paraId="36E8E6FA" w14:textId="77777777" w:rsidR="008E44E1" w:rsidRPr="00D418A2" w:rsidRDefault="008E44E1" w:rsidP="00982222">
      <w:pPr>
        <w:pStyle w:val="Tijeloteksta"/>
        <w:rPr>
          <w:sz w:val="24"/>
          <w:szCs w:val="24"/>
        </w:rPr>
      </w:pPr>
    </w:p>
    <w:p w14:paraId="2EE409C7" w14:textId="77777777" w:rsidR="007D31F7" w:rsidRPr="00A415B9" w:rsidRDefault="007D31F7" w:rsidP="007D31F7">
      <w:pPr>
        <w:jc w:val="both"/>
        <w:rPr>
          <w:sz w:val="24"/>
          <w:szCs w:val="24"/>
        </w:rPr>
      </w:pPr>
      <w:r w:rsidRPr="00A415B9">
        <w:rPr>
          <w:sz w:val="24"/>
          <w:szCs w:val="24"/>
        </w:rPr>
        <w:t>Državno odvjetništvo je samostalno i neovisno pravosudno tijelo ovlašteno i dužno postupati protiv počinitelja kaznenih djela i drugih kažnjivih djela, poduzimati pravne radnje radi zaštite imovine Republike Hrvatske te podnositi pravna sredstva za zaštitu Ustava i zakona.</w:t>
      </w:r>
    </w:p>
    <w:p w14:paraId="7D57D328" w14:textId="77777777" w:rsidR="007D31F7" w:rsidRPr="00A415B9" w:rsidRDefault="007D31F7" w:rsidP="007D31F7">
      <w:pPr>
        <w:jc w:val="both"/>
        <w:rPr>
          <w:sz w:val="24"/>
          <w:szCs w:val="24"/>
        </w:rPr>
      </w:pPr>
    </w:p>
    <w:p w14:paraId="2227193C" w14:textId="3B50D7BD" w:rsidR="00697428" w:rsidRPr="00A415B9" w:rsidRDefault="00697428" w:rsidP="00697428">
      <w:pPr>
        <w:jc w:val="both"/>
        <w:rPr>
          <w:sz w:val="24"/>
          <w:szCs w:val="24"/>
        </w:rPr>
      </w:pPr>
      <w:r w:rsidRPr="00A415B9">
        <w:rPr>
          <w:sz w:val="24"/>
          <w:szCs w:val="24"/>
        </w:rPr>
        <w:t>Županijsko državno odvjetništvo u Osijeku nadležno je za područje Županijskog suda u Osijeku te postupa pred Trgovačkim sudom u Osijeku za područje Osječko-baranjske županije kao i pred Upravnim sudom za područje Osječko-baranjske županije (Zakon o područjima i sjedištima državnih odvjetništava, Narodne novine broj 128/14, 68/18 i 21/22).</w:t>
      </w:r>
    </w:p>
    <w:p w14:paraId="234EAAE1" w14:textId="77777777" w:rsidR="0014420E" w:rsidRPr="00A415B9" w:rsidRDefault="0014420E" w:rsidP="007D31F7">
      <w:pPr>
        <w:jc w:val="both"/>
        <w:rPr>
          <w:sz w:val="24"/>
          <w:szCs w:val="24"/>
        </w:rPr>
      </w:pPr>
    </w:p>
    <w:p w14:paraId="29E1EF10" w14:textId="3DCCFF08" w:rsidR="003F41D0" w:rsidRPr="00A415B9" w:rsidRDefault="0014420E" w:rsidP="003F41D0">
      <w:pPr>
        <w:pStyle w:val="Naslov2"/>
        <w:rPr>
          <w:b w:val="0"/>
          <w:sz w:val="24"/>
          <w:szCs w:val="24"/>
        </w:rPr>
      </w:pPr>
      <w:r w:rsidRPr="00A415B9">
        <w:rPr>
          <w:b w:val="0"/>
          <w:sz w:val="24"/>
          <w:szCs w:val="24"/>
        </w:rPr>
        <w:t>Zakonske</w:t>
      </w:r>
      <w:r w:rsidRPr="00A415B9">
        <w:rPr>
          <w:b w:val="0"/>
          <w:spacing w:val="-1"/>
          <w:sz w:val="24"/>
          <w:szCs w:val="24"/>
        </w:rPr>
        <w:t xml:space="preserve"> </w:t>
      </w:r>
      <w:r w:rsidRPr="00A415B9">
        <w:rPr>
          <w:b w:val="0"/>
          <w:sz w:val="24"/>
          <w:szCs w:val="24"/>
        </w:rPr>
        <w:t>i druge</w:t>
      </w:r>
      <w:r w:rsidRPr="00A415B9">
        <w:rPr>
          <w:b w:val="0"/>
          <w:spacing w:val="-1"/>
          <w:sz w:val="24"/>
          <w:szCs w:val="24"/>
        </w:rPr>
        <w:t xml:space="preserve"> </w:t>
      </w:r>
      <w:r w:rsidRPr="00A415B9">
        <w:rPr>
          <w:b w:val="0"/>
          <w:sz w:val="24"/>
          <w:szCs w:val="24"/>
        </w:rPr>
        <w:t>pravne osnove:</w:t>
      </w:r>
    </w:p>
    <w:p w14:paraId="2B2B8735" w14:textId="77777777" w:rsidR="0014420E" w:rsidRPr="00A415B9" w:rsidRDefault="0014420E" w:rsidP="0014420E">
      <w:pPr>
        <w:pStyle w:val="Naslov2"/>
        <w:numPr>
          <w:ilvl w:val="0"/>
          <w:numId w:val="2"/>
        </w:numPr>
        <w:rPr>
          <w:b w:val="0"/>
          <w:sz w:val="24"/>
          <w:szCs w:val="24"/>
        </w:rPr>
      </w:pPr>
      <w:r w:rsidRPr="00A415B9">
        <w:rPr>
          <w:b w:val="0"/>
          <w:sz w:val="24"/>
          <w:szCs w:val="24"/>
        </w:rPr>
        <w:t>Zakon o državnom odvjetništvu (NN 68/18 i 21/22)</w:t>
      </w:r>
    </w:p>
    <w:p w14:paraId="3FEED738" w14:textId="77777777" w:rsidR="0014420E" w:rsidRPr="00A415B9" w:rsidRDefault="0014420E" w:rsidP="0014420E">
      <w:pPr>
        <w:pStyle w:val="Naslov2"/>
        <w:numPr>
          <w:ilvl w:val="0"/>
          <w:numId w:val="2"/>
        </w:numPr>
        <w:rPr>
          <w:b w:val="0"/>
          <w:sz w:val="24"/>
          <w:szCs w:val="24"/>
        </w:rPr>
      </w:pPr>
      <w:r w:rsidRPr="00A415B9">
        <w:rPr>
          <w:b w:val="0"/>
          <w:sz w:val="24"/>
          <w:szCs w:val="24"/>
        </w:rPr>
        <w:t>Poslovnik državnog odvjetništva (NN 128/2019)</w:t>
      </w:r>
    </w:p>
    <w:p w14:paraId="48C34673" w14:textId="4049BE91" w:rsidR="0014420E" w:rsidRPr="00A415B9" w:rsidRDefault="001316CA" w:rsidP="0014420E">
      <w:pPr>
        <w:pStyle w:val="Naslov2"/>
        <w:numPr>
          <w:ilvl w:val="0"/>
          <w:numId w:val="2"/>
        </w:numPr>
        <w:rPr>
          <w:b w:val="0"/>
          <w:sz w:val="24"/>
          <w:szCs w:val="24"/>
        </w:rPr>
      </w:pPr>
      <w:r w:rsidRPr="00A415B9">
        <w:rPr>
          <w:b w:val="0"/>
          <w:color w:val="212121"/>
          <w:sz w:val="24"/>
          <w:szCs w:val="24"/>
          <w:shd w:val="clear" w:color="auto" w:fill="FFFFFF"/>
        </w:rPr>
        <w:t xml:space="preserve">Pravilnik o unutarnjem redu </w:t>
      </w:r>
      <w:r w:rsidR="00651487" w:rsidRPr="00A415B9">
        <w:rPr>
          <w:b w:val="0"/>
          <w:color w:val="212121"/>
          <w:sz w:val="24"/>
          <w:szCs w:val="24"/>
          <w:shd w:val="clear" w:color="auto" w:fill="FFFFFF"/>
        </w:rPr>
        <w:t>Županijskog</w:t>
      </w:r>
      <w:r w:rsidRPr="00A415B9">
        <w:rPr>
          <w:b w:val="0"/>
          <w:color w:val="212121"/>
          <w:sz w:val="24"/>
          <w:szCs w:val="24"/>
          <w:shd w:val="clear" w:color="auto" w:fill="FFFFFF"/>
        </w:rPr>
        <w:t xml:space="preserve"> državnog odv</w:t>
      </w:r>
      <w:r w:rsidR="00651487" w:rsidRPr="00A415B9">
        <w:rPr>
          <w:b w:val="0"/>
          <w:color w:val="212121"/>
          <w:sz w:val="24"/>
          <w:szCs w:val="24"/>
          <w:shd w:val="clear" w:color="auto" w:fill="FFFFFF"/>
        </w:rPr>
        <w:t>jetništva u Osijeku broj: A-104/2021</w:t>
      </w:r>
      <w:r w:rsidRPr="00A415B9">
        <w:rPr>
          <w:b w:val="0"/>
          <w:color w:val="212121"/>
          <w:sz w:val="24"/>
          <w:szCs w:val="24"/>
          <w:shd w:val="clear" w:color="auto" w:fill="FFFFFF"/>
        </w:rPr>
        <w:t xml:space="preserve"> </w:t>
      </w:r>
      <w:r w:rsidR="00651487" w:rsidRPr="00A415B9">
        <w:rPr>
          <w:b w:val="0"/>
          <w:color w:val="212121"/>
          <w:sz w:val="24"/>
          <w:szCs w:val="24"/>
          <w:shd w:val="clear" w:color="auto" w:fill="FFFFFF"/>
        </w:rPr>
        <w:t>od 27. listopada 2021</w:t>
      </w:r>
      <w:r w:rsidRPr="00A415B9">
        <w:rPr>
          <w:b w:val="0"/>
          <w:color w:val="212121"/>
          <w:sz w:val="24"/>
          <w:szCs w:val="24"/>
          <w:shd w:val="clear" w:color="auto" w:fill="FFFFFF"/>
        </w:rPr>
        <w:t xml:space="preserve">. godine, te Pravilnik o izmjenama Pravilnika o unutarnjem redu u </w:t>
      </w:r>
      <w:r w:rsidR="00651487" w:rsidRPr="00A415B9">
        <w:rPr>
          <w:b w:val="0"/>
          <w:color w:val="212121"/>
          <w:sz w:val="24"/>
          <w:szCs w:val="24"/>
          <w:shd w:val="clear" w:color="auto" w:fill="FFFFFF"/>
        </w:rPr>
        <w:t>Županijskom</w:t>
      </w:r>
      <w:r w:rsidRPr="00A415B9">
        <w:rPr>
          <w:b w:val="0"/>
          <w:color w:val="212121"/>
          <w:sz w:val="24"/>
          <w:szCs w:val="24"/>
          <w:shd w:val="clear" w:color="auto" w:fill="FFFFFF"/>
        </w:rPr>
        <w:t xml:space="preserve"> državnom o</w:t>
      </w:r>
      <w:r w:rsidR="00651487" w:rsidRPr="00A415B9">
        <w:rPr>
          <w:b w:val="0"/>
          <w:color w:val="212121"/>
          <w:sz w:val="24"/>
          <w:szCs w:val="24"/>
          <w:shd w:val="clear" w:color="auto" w:fill="FFFFFF"/>
        </w:rPr>
        <w:t>dvjetništvu u Osijeku, broj A-50/2022 od 04. ožujka</w:t>
      </w:r>
      <w:r w:rsidRPr="00A415B9">
        <w:rPr>
          <w:b w:val="0"/>
          <w:color w:val="212121"/>
          <w:sz w:val="24"/>
          <w:szCs w:val="24"/>
          <w:shd w:val="clear" w:color="auto" w:fill="FFFFFF"/>
        </w:rPr>
        <w:t xml:space="preserve"> 2022.)</w:t>
      </w:r>
    </w:p>
    <w:p w14:paraId="06729215" w14:textId="77777777" w:rsidR="0014420E" w:rsidRPr="00A415B9" w:rsidRDefault="0014420E" w:rsidP="0014420E">
      <w:pPr>
        <w:pStyle w:val="Naslov2"/>
        <w:numPr>
          <w:ilvl w:val="0"/>
          <w:numId w:val="2"/>
        </w:numPr>
        <w:rPr>
          <w:b w:val="0"/>
          <w:sz w:val="24"/>
          <w:szCs w:val="24"/>
        </w:rPr>
      </w:pPr>
      <w:r w:rsidRPr="00A415B9">
        <w:rPr>
          <w:b w:val="0"/>
          <w:sz w:val="24"/>
          <w:szCs w:val="24"/>
        </w:rPr>
        <w:t>Zakon o državnim službenicima (NN 98/19)</w:t>
      </w:r>
    </w:p>
    <w:p w14:paraId="745ADD1C" w14:textId="77777777" w:rsidR="0014420E" w:rsidRPr="00A415B9" w:rsidRDefault="0014420E" w:rsidP="0014420E">
      <w:pPr>
        <w:pStyle w:val="Naslov2"/>
        <w:numPr>
          <w:ilvl w:val="0"/>
          <w:numId w:val="2"/>
        </w:numPr>
        <w:rPr>
          <w:b w:val="0"/>
          <w:sz w:val="24"/>
          <w:szCs w:val="24"/>
        </w:rPr>
      </w:pPr>
      <w:r w:rsidRPr="00A415B9">
        <w:rPr>
          <w:b w:val="0"/>
          <w:sz w:val="24"/>
          <w:szCs w:val="24"/>
        </w:rPr>
        <w:t>Kolektivni ugovor za državne službenike i namještenike (NN 56/22)</w:t>
      </w:r>
    </w:p>
    <w:p w14:paraId="5CE15ED3" w14:textId="2B86CDAC" w:rsidR="0014420E" w:rsidRPr="00A415B9" w:rsidRDefault="0014420E" w:rsidP="0014420E">
      <w:pPr>
        <w:pStyle w:val="Naslov2"/>
        <w:numPr>
          <w:ilvl w:val="0"/>
          <w:numId w:val="2"/>
        </w:numPr>
        <w:rPr>
          <w:b w:val="0"/>
          <w:sz w:val="24"/>
          <w:szCs w:val="24"/>
        </w:rPr>
      </w:pPr>
      <w:r w:rsidRPr="00A415B9">
        <w:rPr>
          <w:b w:val="0"/>
          <w:sz w:val="24"/>
          <w:szCs w:val="24"/>
        </w:rPr>
        <w:t>Uredba</w:t>
      </w:r>
      <w:r w:rsidR="001316CA" w:rsidRPr="00A415B9">
        <w:rPr>
          <w:b w:val="0"/>
          <w:sz w:val="24"/>
          <w:szCs w:val="24"/>
        </w:rPr>
        <w:t xml:space="preserve"> o nazivima radnih mjesta i koeficijentima složenosti poslova u državnoj službi (NN 37/01, 38/01-</w:t>
      </w:r>
      <w:proofErr w:type="spellStart"/>
      <w:r w:rsidR="001316CA" w:rsidRPr="00A415B9">
        <w:rPr>
          <w:b w:val="0"/>
          <w:sz w:val="24"/>
          <w:szCs w:val="24"/>
        </w:rPr>
        <w:t>isp</w:t>
      </w:r>
      <w:proofErr w:type="spellEnd"/>
      <w:r w:rsidR="001316CA" w:rsidRPr="00A415B9">
        <w:rPr>
          <w:b w:val="0"/>
          <w:sz w:val="24"/>
          <w:szCs w:val="24"/>
        </w:rPr>
        <w:t>., 71/01, 89/01, 112/01, 7/02-</w:t>
      </w:r>
      <w:proofErr w:type="spellStart"/>
      <w:r w:rsidR="001316CA" w:rsidRPr="00A415B9">
        <w:rPr>
          <w:b w:val="0"/>
          <w:sz w:val="24"/>
          <w:szCs w:val="24"/>
        </w:rPr>
        <w:t>isp</w:t>
      </w:r>
      <w:proofErr w:type="spellEnd"/>
      <w:r w:rsidR="001316CA" w:rsidRPr="00A415B9">
        <w:rPr>
          <w:b w:val="0"/>
          <w:sz w:val="24"/>
          <w:szCs w:val="24"/>
        </w:rPr>
        <w:t>.,17/03, 197/03, 21/04-</w:t>
      </w:r>
      <w:proofErr w:type="spellStart"/>
      <w:r w:rsidR="001316CA" w:rsidRPr="00A415B9">
        <w:rPr>
          <w:b w:val="0"/>
          <w:sz w:val="24"/>
          <w:szCs w:val="24"/>
        </w:rPr>
        <w:t>isp</w:t>
      </w:r>
      <w:proofErr w:type="spellEnd"/>
      <w:r w:rsidR="001316CA" w:rsidRPr="00A415B9">
        <w:rPr>
          <w:b w:val="0"/>
          <w:sz w:val="24"/>
          <w:szCs w:val="24"/>
        </w:rPr>
        <w:t>., 66/05, 131/05, 11</w:t>
      </w:r>
      <w:r w:rsidR="00E02BD3" w:rsidRPr="00A415B9">
        <w:rPr>
          <w:b w:val="0"/>
          <w:sz w:val="24"/>
          <w:szCs w:val="24"/>
        </w:rPr>
        <w:t>/07, 47/07,109/07,58/08,32/09,140/09,</w:t>
      </w:r>
      <w:r w:rsidR="00E12CFC" w:rsidRPr="00A415B9">
        <w:rPr>
          <w:b w:val="0"/>
          <w:sz w:val="24"/>
          <w:szCs w:val="24"/>
        </w:rPr>
        <w:t xml:space="preserve"> </w:t>
      </w:r>
      <w:r w:rsidR="00E02BD3" w:rsidRPr="00A415B9">
        <w:rPr>
          <w:b w:val="0"/>
          <w:sz w:val="24"/>
          <w:szCs w:val="24"/>
        </w:rPr>
        <w:t>21/10</w:t>
      </w:r>
      <w:r w:rsidR="00E12CFC" w:rsidRPr="00A415B9">
        <w:rPr>
          <w:b w:val="0"/>
          <w:sz w:val="24"/>
          <w:szCs w:val="24"/>
        </w:rPr>
        <w:t>, 38/10, 77/10, 113/10, 22/11,142/11, 31/12,60/12, 78/12, 82/12, 100/12, 124/12, 140/12, 16/13, 25/13, 52/13, 96/13, 126/13, 2/14, 94/14, 140/14, 100/15, 71/18, 73/19 i 63/21).</w:t>
      </w:r>
    </w:p>
    <w:p w14:paraId="791D0F1B" w14:textId="77777777" w:rsidR="00865548" w:rsidRPr="00A415B9" w:rsidRDefault="00865548" w:rsidP="00865548">
      <w:pPr>
        <w:pStyle w:val="Naslov2"/>
        <w:rPr>
          <w:b w:val="0"/>
          <w:sz w:val="24"/>
          <w:szCs w:val="24"/>
        </w:rPr>
      </w:pPr>
    </w:p>
    <w:p w14:paraId="6AD964A2" w14:textId="77777777" w:rsidR="00865548" w:rsidRPr="00A415B9" w:rsidRDefault="00865548" w:rsidP="00865548">
      <w:pPr>
        <w:pStyle w:val="Naslov2"/>
        <w:rPr>
          <w:b w:val="0"/>
          <w:sz w:val="24"/>
          <w:szCs w:val="24"/>
        </w:rPr>
      </w:pPr>
    </w:p>
    <w:p w14:paraId="6E89881D" w14:textId="77777777" w:rsidR="00D643EF" w:rsidRPr="00A415B9" w:rsidRDefault="00D643EF" w:rsidP="00D643EF">
      <w:pPr>
        <w:pStyle w:val="Naslov2"/>
        <w:rPr>
          <w:b w:val="0"/>
          <w:sz w:val="24"/>
          <w:szCs w:val="24"/>
        </w:rPr>
      </w:pPr>
    </w:p>
    <w:p w14:paraId="2D37BEDE" w14:textId="77777777" w:rsidR="00D643EF" w:rsidRPr="00A415B9" w:rsidRDefault="00D643EF" w:rsidP="00D643EF">
      <w:pPr>
        <w:pStyle w:val="Naslov2"/>
        <w:rPr>
          <w:b w:val="0"/>
          <w:sz w:val="24"/>
          <w:szCs w:val="24"/>
        </w:rPr>
      </w:pPr>
    </w:p>
    <w:p w14:paraId="4EA20791" w14:textId="77777777" w:rsidR="00D643EF" w:rsidRPr="00A415B9" w:rsidRDefault="00D643EF" w:rsidP="00D643EF">
      <w:pPr>
        <w:pStyle w:val="Naslov2"/>
        <w:rPr>
          <w:b w:val="0"/>
          <w:sz w:val="24"/>
          <w:szCs w:val="24"/>
        </w:rPr>
      </w:pPr>
    </w:p>
    <w:p w14:paraId="39091301" w14:textId="77777777" w:rsidR="00D643EF" w:rsidRPr="00A415B9" w:rsidRDefault="00D643EF" w:rsidP="00D643EF">
      <w:pPr>
        <w:pStyle w:val="Naslov2"/>
        <w:rPr>
          <w:b w:val="0"/>
          <w:sz w:val="24"/>
          <w:szCs w:val="24"/>
        </w:rPr>
      </w:pPr>
    </w:p>
    <w:p w14:paraId="10673DEF" w14:textId="77777777" w:rsidR="00437659" w:rsidRPr="00A415B9" w:rsidRDefault="00437659" w:rsidP="00D643EF">
      <w:pPr>
        <w:pStyle w:val="Naslov2"/>
        <w:rPr>
          <w:b w:val="0"/>
          <w:sz w:val="24"/>
          <w:szCs w:val="24"/>
        </w:rPr>
      </w:pPr>
    </w:p>
    <w:p w14:paraId="558E653A" w14:textId="77777777" w:rsidR="002A6195" w:rsidRPr="00A415B9" w:rsidRDefault="002A6195" w:rsidP="00D643EF">
      <w:pPr>
        <w:pStyle w:val="Naslov2"/>
        <w:rPr>
          <w:b w:val="0"/>
          <w:sz w:val="24"/>
          <w:szCs w:val="24"/>
        </w:rPr>
      </w:pPr>
    </w:p>
    <w:p w14:paraId="2C2AD239" w14:textId="77777777" w:rsidR="00D643EF" w:rsidRPr="00A415B9" w:rsidRDefault="00D643EF" w:rsidP="00D643EF">
      <w:pPr>
        <w:pStyle w:val="Naslov2"/>
        <w:rPr>
          <w:b w:val="0"/>
          <w:sz w:val="24"/>
          <w:szCs w:val="24"/>
        </w:rPr>
      </w:pPr>
    </w:p>
    <w:p w14:paraId="6BC41986" w14:textId="7C54A016" w:rsidR="0014420E" w:rsidRDefault="002A6195" w:rsidP="0014420E">
      <w:pPr>
        <w:pStyle w:val="Naslov1"/>
        <w:tabs>
          <w:tab w:val="left" w:pos="10314"/>
        </w:tabs>
        <w:spacing w:before="96"/>
        <w:rPr>
          <w:b w:val="0"/>
          <w:sz w:val="24"/>
          <w:szCs w:val="24"/>
          <w:u w:val="single"/>
        </w:rPr>
      </w:pPr>
      <w:r w:rsidRPr="00A415B9">
        <w:rPr>
          <w:sz w:val="24"/>
          <w:szCs w:val="24"/>
          <w:u w:val="single"/>
        </w:rPr>
        <w:t>A640</w:t>
      </w:r>
      <w:r w:rsidR="0014420E" w:rsidRPr="00A415B9">
        <w:rPr>
          <w:sz w:val="24"/>
          <w:szCs w:val="24"/>
          <w:u w:val="single"/>
        </w:rPr>
        <w:t xml:space="preserve">000  </w:t>
      </w:r>
      <w:r w:rsidR="0014420E" w:rsidRPr="00A415B9">
        <w:rPr>
          <w:b w:val="0"/>
          <w:sz w:val="24"/>
          <w:szCs w:val="24"/>
          <w:u w:val="single"/>
        </w:rPr>
        <w:t>PROGON POČINITELJA KAZNENIH I KAŽNJIVIH DJELA I ZAŠTITA IMOVINE RH PRED NADLEŽNIM SUDOVIMA I TIJELIMA</w:t>
      </w:r>
    </w:p>
    <w:p w14:paraId="5576DC8F" w14:textId="7E843588" w:rsidR="00B45228" w:rsidRPr="00B45228" w:rsidRDefault="00B45228" w:rsidP="0014420E">
      <w:pPr>
        <w:pStyle w:val="Naslov1"/>
        <w:tabs>
          <w:tab w:val="left" w:pos="10314"/>
        </w:tabs>
        <w:spacing w:before="96"/>
        <w:rPr>
          <w:b w:val="0"/>
          <w:sz w:val="24"/>
          <w:szCs w:val="24"/>
        </w:rPr>
      </w:pPr>
      <w:r w:rsidRPr="00B45228">
        <w:rPr>
          <w:b w:val="0"/>
          <w:sz w:val="24"/>
          <w:szCs w:val="24"/>
          <w:u w:val="single"/>
        </w:rPr>
        <w:t>Program 2812</w:t>
      </w:r>
      <w:r w:rsidRPr="00B45228">
        <w:rPr>
          <w:b w:val="0"/>
          <w:sz w:val="24"/>
          <w:szCs w:val="24"/>
        </w:rPr>
        <w:t xml:space="preserve"> Djelovanje državnih odvjetništava</w:t>
      </w:r>
    </w:p>
    <w:p w14:paraId="29A8C66F" w14:textId="77777777" w:rsidR="00D7190C" w:rsidRPr="00B45228" w:rsidRDefault="00D7190C" w:rsidP="0014420E">
      <w:pPr>
        <w:pStyle w:val="Naslov1"/>
        <w:tabs>
          <w:tab w:val="left" w:pos="10314"/>
        </w:tabs>
        <w:spacing w:before="96"/>
        <w:rPr>
          <w:b w:val="0"/>
          <w:sz w:val="24"/>
          <w:szCs w:val="24"/>
        </w:rPr>
      </w:pPr>
    </w:p>
    <w:p w14:paraId="4A008CD3" w14:textId="2A421791" w:rsidR="00671656" w:rsidRPr="00671656" w:rsidRDefault="007446C7" w:rsidP="0014420E">
      <w:pPr>
        <w:pStyle w:val="Naslov1"/>
        <w:tabs>
          <w:tab w:val="left" w:pos="10314"/>
        </w:tabs>
        <w:spacing w:before="96"/>
        <w:rPr>
          <w:rFonts w:eastAsiaTheme="minorHAnsi"/>
          <w:b w:val="0"/>
          <w:bCs w:val="0"/>
          <w:sz w:val="24"/>
          <w:szCs w:val="24"/>
          <w:lang w:val="en-US"/>
        </w:rPr>
      </w:pPr>
      <w:r w:rsidRPr="007446C7">
        <w:rPr>
          <w:noProof/>
          <w:lang w:eastAsia="hr-HR"/>
        </w:rPr>
        <w:drawing>
          <wp:inline distT="0" distB="0" distL="0" distR="0" wp14:anchorId="54306D92" wp14:editId="5431E5EC">
            <wp:extent cx="6475862" cy="361666"/>
            <wp:effectExtent l="0" t="0" r="127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810" cy="363171"/>
                    </a:xfrm>
                    <a:prstGeom prst="rect">
                      <a:avLst/>
                    </a:prstGeom>
                    <a:noFill/>
                    <a:ln>
                      <a:noFill/>
                    </a:ln>
                  </pic:spPr>
                </pic:pic>
              </a:graphicData>
            </a:graphic>
          </wp:inline>
        </w:drawing>
      </w:r>
      <w:r w:rsidR="00E06CB4" w:rsidRPr="00A415B9">
        <w:rPr>
          <w:b w:val="0"/>
          <w:sz w:val="24"/>
          <w:szCs w:val="24"/>
          <w:u w:val="single"/>
        </w:rPr>
        <w:fldChar w:fldCharType="begin"/>
      </w:r>
      <w:r w:rsidR="00E06CB4" w:rsidRPr="00A415B9">
        <w:rPr>
          <w:b w:val="0"/>
          <w:sz w:val="24"/>
          <w:szCs w:val="24"/>
          <w:u w:val="single"/>
        </w:rPr>
        <w:instrText xml:space="preserve"> LINK </w:instrText>
      </w:r>
      <w:r w:rsidR="001403AF">
        <w:rPr>
          <w:b w:val="0"/>
          <w:sz w:val="24"/>
          <w:szCs w:val="24"/>
          <w:u w:val="single"/>
        </w:rPr>
        <w:instrText xml:space="preserve">Excel.Sheet.12 "C:\\Users\\tbrisevac\\Desktop\\ŽDO U OSIJEKU-Tablica ogledni format izvještaja o izvršenju PKDP (1).xlsx" "Posebni dio!R4C1:R4C2" </w:instrText>
      </w:r>
      <w:r w:rsidR="00E06CB4" w:rsidRPr="00A415B9">
        <w:rPr>
          <w:b w:val="0"/>
          <w:sz w:val="24"/>
          <w:szCs w:val="24"/>
          <w:u w:val="single"/>
        </w:rPr>
        <w:instrText xml:space="preserve">\a \f 5 \h  \* MERGEFORMAT </w:instrText>
      </w:r>
      <w:r w:rsidR="00E06CB4" w:rsidRPr="00A415B9">
        <w:rPr>
          <w:b w:val="0"/>
          <w:sz w:val="24"/>
          <w:szCs w:val="24"/>
          <w:u w:val="single"/>
        </w:rPr>
        <w:fldChar w:fldCharType="separate"/>
      </w:r>
    </w:p>
    <w:p w14:paraId="037B13E2" w14:textId="01568E24" w:rsidR="00E06CB4" w:rsidRPr="00A415B9" w:rsidRDefault="00E06CB4" w:rsidP="00B45228">
      <w:pPr>
        <w:pStyle w:val="Naslov1"/>
        <w:tabs>
          <w:tab w:val="left" w:pos="10314"/>
        </w:tabs>
        <w:spacing w:before="96"/>
        <w:ind w:left="0"/>
        <w:rPr>
          <w:b w:val="0"/>
          <w:sz w:val="24"/>
          <w:szCs w:val="24"/>
          <w:u w:val="single"/>
        </w:rPr>
      </w:pPr>
      <w:r w:rsidRPr="00A415B9">
        <w:rPr>
          <w:b w:val="0"/>
          <w:sz w:val="24"/>
          <w:szCs w:val="24"/>
          <w:u w:val="single"/>
        </w:rPr>
        <w:fldChar w:fldCharType="end"/>
      </w:r>
      <w:r w:rsidR="00780D2D" w:rsidRPr="007446C7">
        <w:rPr>
          <w:noProof/>
          <w:lang w:eastAsia="hr-HR"/>
        </w:rPr>
        <w:drawing>
          <wp:inline distT="0" distB="0" distL="0" distR="0" wp14:anchorId="7097B991" wp14:editId="3AA27A80">
            <wp:extent cx="6537275" cy="470847"/>
            <wp:effectExtent l="0" t="0" r="0" b="571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7227" cy="473004"/>
                    </a:xfrm>
                    <a:prstGeom prst="rect">
                      <a:avLst/>
                    </a:prstGeom>
                    <a:noFill/>
                    <a:ln>
                      <a:noFill/>
                    </a:ln>
                  </pic:spPr>
                </pic:pic>
              </a:graphicData>
            </a:graphic>
          </wp:inline>
        </w:drawing>
      </w:r>
    </w:p>
    <w:p w14:paraId="452C5F28" w14:textId="2C78BB16" w:rsidR="00F220BE" w:rsidRPr="00A415B9" w:rsidRDefault="00F220BE" w:rsidP="00B45228">
      <w:pPr>
        <w:pStyle w:val="Naslov1"/>
        <w:tabs>
          <w:tab w:val="left" w:pos="10314"/>
        </w:tabs>
        <w:spacing w:before="96"/>
        <w:ind w:left="0"/>
        <w:rPr>
          <w:b w:val="0"/>
          <w:sz w:val="24"/>
          <w:szCs w:val="24"/>
          <w:u w:val="single"/>
        </w:rPr>
      </w:pPr>
    </w:p>
    <w:tbl>
      <w:tblPr>
        <w:tblStyle w:val="TableNormal"/>
        <w:tblW w:w="0" w:type="auto"/>
        <w:tblInd w:w="426" w:type="dxa"/>
        <w:tblLayout w:type="fixed"/>
        <w:tblLook w:val="04A0" w:firstRow="1" w:lastRow="0" w:firstColumn="1" w:lastColumn="0" w:noHBand="0" w:noVBand="1"/>
      </w:tblPr>
      <w:tblGrid>
        <w:gridCol w:w="738"/>
        <w:gridCol w:w="1632"/>
        <w:gridCol w:w="1632"/>
      </w:tblGrid>
      <w:tr w:rsidR="0090532E" w:rsidRPr="00A415B9" w14:paraId="7313106E" w14:textId="77777777" w:rsidTr="00D16D6C">
        <w:trPr>
          <w:trHeight w:val="300"/>
        </w:trPr>
        <w:tc>
          <w:tcPr>
            <w:tcW w:w="738" w:type="dxa"/>
            <w:noWrap/>
          </w:tcPr>
          <w:p w14:paraId="044C1078" w14:textId="4B4C7760" w:rsidR="0090532E" w:rsidRPr="00A415B9" w:rsidRDefault="0090532E" w:rsidP="00D16D6C">
            <w:pPr>
              <w:rPr>
                <w:b/>
                <w:bCs/>
                <w:sz w:val="24"/>
                <w:szCs w:val="24"/>
                <w:lang w:eastAsia="hr-HR"/>
              </w:rPr>
            </w:pPr>
          </w:p>
        </w:tc>
        <w:tc>
          <w:tcPr>
            <w:tcW w:w="1632" w:type="dxa"/>
            <w:noWrap/>
          </w:tcPr>
          <w:p w14:paraId="75206B96" w14:textId="0902CBAE" w:rsidR="0090532E" w:rsidRPr="00A415B9" w:rsidRDefault="0090532E" w:rsidP="0090532E">
            <w:pPr>
              <w:widowControl/>
              <w:autoSpaceDE/>
              <w:autoSpaceDN/>
              <w:jc w:val="right"/>
              <w:rPr>
                <w:b/>
                <w:bCs/>
                <w:sz w:val="24"/>
                <w:szCs w:val="24"/>
                <w:lang w:eastAsia="hr-HR"/>
              </w:rPr>
            </w:pPr>
          </w:p>
        </w:tc>
        <w:tc>
          <w:tcPr>
            <w:tcW w:w="1632" w:type="dxa"/>
            <w:noWrap/>
          </w:tcPr>
          <w:p w14:paraId="77CC48D5" w14:textId="39CD0342" w:rsidR="0090532E" w:rsidRPr="00A415B9" w:rsidRDefault="0090532E" w:rsidP="0090532E">
            <w:pPr>
              <w:widowControl/>
              <w:autoSpaceDE/>
              <w:autoSpaceDN/>
              <w:jc w:val="right"/>
              <w:rPr>
                <w:b/>
                <w:bCs/>
                <w:sz w:val="24"/>
                <w:szCs w:val="24"/>
                <w:lang w:eastAsia="hr-HR"/>
              </w:rPr>
            </w:pPr>
          </w:p>
        </w:tc>
      </w:tr>
      <w:tr w:rsidR="00491657" w:rsidRPr="00A415B9" w14:paraId="701B7B23" w14:textId="77777777" w:rsidTr="00D16D6C">
        <w:trPr>
          <w:trHeight w:val="300"/>
        </w:trPr>
        <w:tc>
          <w:tcPr>
            <w:tcW w:w="738" w:type="dxa"/>
            <w:noWrap/>
          </w:tcPr>
          <w:p w14:paraId="754F8C84" w14:textId="77777777" w:rsidR="00491657" w:rsidRPr="00A415B9" w:rsidRDefault="00491657" w:rsidP="0090532E">
            <w:pPr>
              <w:widowControl/>
              <w:autoSpaceDE/>
              <w:autoSpaceDN/>
              <w:jc w:val="right"/>
              <w:rPr>
                <w:b/>
                <w:bCs/>
                <w:sz w:val="24"/>
                <w:szCs w:val="24"/>
                <w:lang w:eastAsia="hr-HR"/>
              </w:rPr>
            </w:pPr>
          </w:p>
        </w:tc>
        <w:tc>
          <w:tcPr>
            <w:tcW w:w="1632" w:type="dxa"/>
            <w:noWrap/>
          </w:tcPr>
          <w:p w14:paraId="07CE8C2F" w14:textId="77777777" w:rsidR="00491657" w:rsidRPr="00A415B9" w:rsidRDefault="00491657" w:rsidP="0090532E">
            <w:pPr>
              <w:widowControl/>
              <w:autoSpaceDE/>
              <w:autoSpaceDN/>
              <w:jc w:val="right"/>
              <w:rPr>
                <w:b/>
                <w:bCs/>
                <w:sz w:val="24"/>
                <w:szCs w:val="24"/>
                <w:lang w:eastAsia="hr-HR"/>
              </w:rPr>
            </w:pPr>
          </w:p>
        </w:tc>
        <w:tc>
          <w:tcPr>
            <w:tcW w:w="1632" w:type="dxa"/>
            <w:noWrap/>
          </w:tcPr>
          <w:p w14:paraId="19E48DAA" w14:textId="77777777" w:rsidR="00491657" w:rsidRPr="00A415B9" w:rsidRDefault="00491657" w:rsidP="0090532E">
            <w:pPr>
              <w:widowControl/>
              <w:autoSpaceDE/>
              <w:autoSpaceDN/>
              <w:jc w:val="right"/>
              <w:rPr>
                <w:b/>
                <w:bCs/>
                <w:sz w:val="24"/>
                <w:szCs w:val="24"/>
                <w:lang w:eastAsia="hr-HR"/>
              </w:rPr>
            </w:pPr>
          </w:p>
        </w:tc>
      </w:tr>
    </w:tbl>
    <w:p w14:paraId="2F1A53B4" w14:textId="0779D02A" w:rsidR="0027064B" w:rsidRPr="00A415B9" w:rsidRDefault="002A6195" w:rsidP="00D16D6C">
      <w:pPr>
        <w:pStyle w:val="Tijeloteksta"/>
        <w:spacing w:before="91"/>
        <w:ind w:right="126"/>
        <w:jc w:val="both"/>
        <w:rPr>
          <w:sz w:val="24"/>
          <w:szCs w:val="24"/>
        </w:rPr>
      </w:pPr>
      <w:r w:rsidRPr="00A415B9">
        <w:rPr>
          <w:sz w:val="24"/>
          <w:szCs w:val="24"/>
        </w:rPr>
        <w:t>Unutar aktivnosti A640</w:t>
      </w:r>
      <w:r w:rsidR="0027064B" w:rsidRPr="00A415B9">
        <w:rPr>
          <w:sz w:val="24"/>
          <w:szCs w:val="24"/>
        </w:rPr>
        <w:t>000 izvor 11-opći prihodi i primici osiguravaju se sredstva nužna za troš</w:t>
      </w:r>
      <w:r w:rsidR="002528D9" w:rsidRPr="00A415B9">
        <w:rPr>
          <w:sz w:val="24"/>
          <w:szCs w:val="24"/>
        </w:rPr>
        <w:t>kov</w:t>
      </w:r>
      <w:r w:rsidR="00780D2D">
        <w:rPr>
          <w:sz w:val="24"/>
          <w:szCs w:val="24"/>
        </w:rPr>
        <w:t>e plaća i ostalih troškova za 50</w:t>
      </w:r>
      <w:r w:rsidR="0027064B" w:rsidRPr="00A415B9">
        <w:rPr>
          <w:sz w:val="24"/>
          <w:szCs w:val="24"/>
        </w:rPr>
        <w:t xml:space="preserve"> zaposlenika </w:t>
      </w:r>
      <w:r w:rsidR="002528D9" w:rsidRPr="00A415B9">
        <w:rPr>
          <w:sz w:val="24"/>
          <w:szCs w:val="24"/>
        </w:rPr>
        <w:t>Županijskog</w:t>
      </w:r>
      <w:r w:rsidR="0027064B" w:rsidRPr="00A415B9">
        <w:rPr>
          <w:sz w:val="24"/>
          <w:szCs w:val="24"/>
        </w:rPr>
        <w:t xml:space="preserve"> državnog odvjetništva u Osijeku. Također, na aktivnosti se planiraju sredstva za pokriće materijalnih rashoda koji nastaju u redovnom</w:t>
      </w:r>
      <w:r w:rsidR="0027064B" w:rsidRPr="00A415B9">
        <w:rPr>
          <w:spacing w:val="1"/>
          <w:sz w:val="24"/>
          <w:szCs w:val="24"/>
        </w:rPr>
        <w:t xml:space="preserve"> </w:t>
      </w:r>
      <w:r w:rsidR="0027064B" w:rsidRPr="00A415B9">
        <w:rPr>
          <w:sz w:val="24"/>
          <w:szCs w:val="24"/>
        </w:rPr>
        <w:t>poslovanju kao što su troškovi pošte, prijevoza, energije, uredskog materijala, službenih putovanja, intelektualnih usluga i</w:t>
      </w:r>
      <w:r w:rsidR="0027064B" w:rsidRPr="00A415B9">
        <w:rPr>
          <w:spacing w:val="1"/>
          <w:sz w:val="24"/>
          <w:szCs w:val="24"/>
        </w:rPr>
        <w:t xml:space="preserve"> </w:t>
      </w:r>
      <w:r w:rsidR="003F41D0" w:rsidRPr="00A415B9">
        <w:rPr>
          <w:sz w:val="24"/>
          <w:szCs w:val="24"/>
        </w:rPr>
        <w:t>ostalo prema stavkama plana.</w:t>
      </w:r>
    </w:p>
    <w:p w14:paraId="5C983950" w14:textId="7BB0AA3E" w:rsidR="00D7190C" w:rsidRPr="00A415B9" w:rsidRDefault="00780D2D" w:rsidP="00D16D6C">
      <w:pPr>
        <w:pStyle w:val="Tijeloteksta"/>
        <w:spacing w:before="91"/>
        <w:ind w:right="126"/>
        <w:rPr>
          <w:sz w:val="24"/>
          <w:szCs w:val="24"/>
        </w:rPr>
      </w:pPr>
      <w:r>
        <w:rPr>
          <w:sz w:val="24"/>
          <w:szCs w:val="24"/>
        </w:rPr>
        <w:t>Prema indeksu izvršenja 99,89</w:t>
      </w:r>
      <w:r w:rsidR="00D16D6C" w:rsidRPr="00A415B9">
        <w:rPr>
          <w:sz w:val="24"/>
          <w:szCs w:val="24"/>
        </w:rPr>
        <w:t xml:space="preserve"> u odnos</w:t>
      </w:r>
      <w:r w:rsidR="00620B27">
        <w:rPr>
          <w:sz w:val="24"/>
          <w:szCs w:val="24"/>
        </w:rPr>
        <w:t xml:space="preserve">u na </w:t>
      </w:r>
      <w:r w:rsidR="00D16D6C" w:rsidRPr="00A415B9">
        <w:rPr>
          <w:sz w:val="24"/>
          <w:szCs w:val="24"/>
        </w:rPr>
        <w:t xml:space="preserve">tekući plan </w:t>
      </w:r>
      <w:r>
        <w:rPr>
          <w:sz w:val="24"/>
          <w:szCs w:val="24"/>
        </w:rPr>
        <w:t xml:space="preserve">2023. vidljivo je da smo na </w:t>
      </w:r>
      <w:r w:rsidR="00D16D6C" w:rsidRPr="00A415B9">
        <w:rPr>
          <w:sz w:val="24"/>
          <w:szCs w:val="24"/>
        </w:rPr>
        <w:t>g</w:t>
      </w:r>
      <w:r>
        <w:rPr>
          <w:sz w:val="24"/>
          <w:szCs w:val="24"/>
        </w:rPr>
        <w:t>odišnjoj razini po izvršenjima gotovo u cijelosti realizirali plan</w:t>
      </w:r>
      <w:r w:rsidR="00D16D6C" w:rsidRPr="00A415B9">
        <w:rPr>
          <w:sz w:val="24"/>
          <w:szCs w:val="24"/>
        </w:rPr>
        <w:t xml:space="preserve"> za 2023. godinu.</w:t>
      </w:r>
    </w:p>
    <w:p w14:paraId="19E22625" w14:textId="568BC62C" w:rsidR="00013414" w:rsidRDefault="00CF2FB7" w:rsidP="00780D2D">
      <w:pPr>
        <w:pStyle w:val="Tijeloteksta"/>
        <w:spacing w:before="91"/>
        <w:ind w:right="126"/>
        <w:rPr>
          <w:sz w:val="24"/>
          <w:szCs w:val="24"/>
        </w:rPr>
      </w:pPr>
      <w:r w:rsidRPr="00A415B9">
        <w:rPr>
          <w:sz w:val="24"/>
          <w:szCs w:val="24"/>
        </w:rPr>
        <w:t>Izvor 31-vlasti</w:t>
      </w:r>
      <w:r w:rsidR="00780D2D">
        <w:rPr>
          <w:sz w:val="24"/>
          <w:szCs w:val="24"/>
        </w:rPr>
        <w:t>ti prihodi je gotovo isti</w:t>
      </w:r>
      <w:r w:rsidRPr="00A415B9">
        <w:rPr>
          <w:sz w:val="24"/>
          <w:szCs w:val="24"/>
        </w:rPr>
        <w:t xml:space="preserve"> razini u odnosu na planirano. Vlastite prihode Županijsko državno odvjetništvo u Osijeku ostvaruje od naplate usluga fotokopiranja spisa traženih na uvid od strane stranaka. </w:t>
      </w:r>
    </w:p>
    <w:p w14:paraId="4B3E6B83" w14:textId="77777777" w:rsidR="00780D2D" w:rsidRPr="00A415B9" w:rsidRDefault="00780D2D" w:rsidP="00780D2D">
      <w:pPr>
        <w:pStyle w:val="Tijeloteksta"/>
        <w:spacing w:before="91"/>
        <w:ind w:right="126"/>
        <w:rPr>
          <w:b/>
          <w:sz w:val="24"/>
          <w:szCs w:val="24"/>
        </w:rPr>
      </w:pPr>
    </w:p>
    <w:p w14:paraId="3DC3433A" w14:textId="1FC39B17" w:rsidR="00127CD1" w:rsidRPr="00A415B9" w:rsidRDefault="00E54EB0" w:rsidP="00C44DD7">
      <w:pPr>
        <w:pStyle w:val="Naslov1"/>
        <w:tabs>
          <w:tab w:val="left" w:pos="10314"/>
        </w:tabs>
        <w:spacing w:before="96"/>
        <w:rPr>
          <w:b w:val="0"/>
          <w:sz w:val="24"/>
          <w:szCs w:val="24"/>
        </w:rPr>
      </w:pPr>
      <w:r>
        <w:rPr>
          <w:sz w:val="24"/>
          <w:szCs w:val="24"/>
        </w:rPr>
        <w:t xml:space="preserve">Plaće, </w:t>
      </w:r>
      <w:r w:rsidR="00127CD1" w:rsidRPr="00A415B9">
        <w:rPr>
          <w:sz w:val="24"/>
          <w:szCs w:val="24"/>
        </w:rPr>
        <w:t>doprinosi</w:t>
      </w:r>
      <w:r>
        <w:rPr>
          <w:sz w:val="24"/>
          <w:szCs w:val="24"/>
        </w:rPr>
        <w:t xml:space="preserve"> i ostali rashodi za zaposlene</w:t>
      </w:r>
      <w:r w:rsidR="00127CD1" w:rsidRPr="00A415B9">
        <w:rPr>
          <w:sz w:val="24"/>
          <w:szCs w:val="24"/>
        </w:rPr>
        <w:t xml:space="preserve"> A640000 10975 Županijsko državno odvjetništvo u Osijeku</w:t>
      </w:r>
    </w:p>
    <w:p w14:paraId="06F6DBC5" w14:textId="3F687BB8" w:rsidR="00127CD1" w:rsidRPr="00A415B9" w:rsidRDefault="00127CD1" w:rsidP="00C44DD7">
      <w:pPr>
        <w:pStyle w:val="Naslov1"/>
        <w:tabs>
          <w:tab w:val="left" w:pos="10314"/>
        </w:tabs>
        <w:spacing w:before="96"/>
        <w:rPr>
          <w:b w:val="0"/>
          <w:sz w:val="24"/>
          <w:szCs w:val="24"/>
        </w:rPr>
      </w:pPr>
    </w:p>
    <w:p w14:paraId="67FD7BEA" w14:textId="61257259" w:rsidR="00C44DD7" w:rsidRDefault="00780D2D" w:rsidP="002E6669">
      <w:pPr>
        <w:pStyle w:val="Naslov2"/>
        <w:ind w:left="0"/>
        <w:rPr>
          <w:sz w:val="24"/>
          <w:szCs w:val="24"/>
        </w:rPr>
      </w:pPr>
      <w:r w:rsidRPr="00780D2D">
        <w:rPr>
          <w:noProof/>
          <w:lang w:eastAsia="hr-HR"/>
        </w:rPr>
        <w:drawing>
          <wp:inline distT="0" distB="0" distL="0" distR="0" wp14:anchorId="3FCBAEDA" wp14:editId="41201E7F">
            <wp:extent cx="6635750" cy="363171"/>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5750" cy="363171"/>
                    </a:xfrm>
                    <a:prstGeom prst="rect">
                      <a:avLst/>
                    </a:prstGeom>
                    <a:noFill/>
                    <a:ln>
                      <a:noFill/>
                    </a:ln>
                  </pic:spPr>
                </pic:pic>
              </a:graphicData>
            </a:graphic>
          </wp:inline>
        </w:drawing>
      </w:r>
    </w:p>
    <w:p w14:paraId="083ECCED" w14:textId="5D770999" w:rsidR="00780D2D" w:rsidRDefault="00780D2D" w:rsidP="002E6669">
      <w:pPr>
        <w:pStyle w:val="Naslov2"/>
        <w:ind w:left="0"/>
        <w:rPr>
          <w:sz w:val="24"/>
          <w:szCs w:val="24"/>
        </w:rPr>
      </w:pPr>
      <w:r w:rsidRPr="00780D2D">
        <w:rPr>
          <w:noProof/>
          <w:lang w:eastAsia="hr-HR"/>
        </w:rPr>
        <w:drawing>
          <wp:inline distT="0" distB="0" distL="0" distR="0" wp14:anchorId="3D3104D6" wp14:editId="1FF8E11B">
            <wp:extent cx="6635750" cy="951008"/>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5750" cy="951008"/>
                    </a:xfrm>
                    <a:prstGeom prst="rect">
                      <a:avLst/>
                    </a:prstGeom>
                    <a:noFill/>
                    <a:ln>
                      <a:noFill/>
                    </a:ln>
                  </pic:spPr>
                </pic:pic>
              </a:graphicData>
            </a:graphic>
          </wp:inline>
        </w:drawing>
      </w:r>
    </w:p>
    <w:p w14:paraId="4040B863" w14:textId="77777777" w:rsidR="00E54EB0" w:rsidRPr="00A415B9" w:rsidRDefault="00E54EB0" w:rsidP="002E6669">
      <w:pPr>
        <w:pStyle w:val="Naslov2"/>
        <w:ind w:left="0"/>
        <w:rPr>
          <w:sz w:val="24"/>
          <w:szCs w:val="24"/>
        </w:rPr>
      </w:pPr>
    </w:p>
    <w:p w14:paraId="1512298F" w14:textId="45208744" w:rsidR="00127CD1" w:rsidRDefault="00E54EB0" w:rsidP="00127CD1">
      <w:pPr>
        <w:pStyle w:val="Tijeloteksta"/>
        <w:spacing w:before="91"/>
        <w:ind w:right="126"/>
        <w:rPr>
          <w:sz w:val="24"/>
          <w:szCs w:val="24"/>
        </w:rPr>
      </w:pPr>
      <w:r>
        <w:rPr>
          <w:sz w:val="24"/>
          <w:szCs w:val="24"/>
        </w:rPr>
        <w:t>Prema indeksu izvršenja 99,</w:t>
      </w:r>
      <w:proofErr w:type="spellStart"/>
      <w:r>
        <w:rPr>
          <w:sz w:val="24"/>
          <w:szCs w:val="24"/>
        </w:rPr>
        <w:t>99</w:t>
      </w:r>
      <w:proofErr w:type="spellEnd"/>
      <w:r w:rsidR="00E52C93">
        <w:rPr>
          <w:sz w:val="24"/>
          <w:szCs w:val="24"/>
        </w:rPr>
        <w:t xml:space="preserve"> u odnosu na </w:t>
      </w:r>
      <w:r w:rsidR="00127CD1" w:rsidRPr="00A415B9">
        <w:rPr>
          <w:sz w:val="24"/>
          <w:szCs w:val="24"/>
        </w:rPr>
        <w:t xml:space="preserve">tekući plan 2023. na stavci plaća </w:t>
      </w:r>
      <w:r w:rsidR="00CF2FB7" w:rsidRPr="00A415B9">
        <w:rPr>
          <w:sz w:val="24"/>
          <w:szCs w:val="24"/>
        </w:rPr>
        <w:t xml:space="preserve">311-plaće (bruto) </w:t>
      </w:r>
      <w:r>
        <w:rPr>
          <w:sz w:val="24"/>
          <w:szCs w:val="24"/>
        </w:rPr>
        <w:t xml:space="preserve">vidljivo je da smo na </w:t>
      </w:r>
      <w:r w:rsidR="00127CD1" w:rsidRPr="00A415B9">
        <w:rPr>
          <w:sz w:val="24"/>
          <w:szCs w:val="24"/>
        </w:rPr>
        <w:t xml:space="preserve">godišnjoj razini po izvršenjima </w:t>
      </w:r>
      <w:r>
        <w:rPr>
          <w:sz w:val="24"/>
          <w:szCs w:val="24"/>
        </w:rPr>
        <w:t>gotovo u potpunosti realizirali</w:t>
      </w:r>
      <w:r w:rsidR="00127CD1" w:rsidRPr="00A415B9">
        <w:rPr>
          <w:sz w:val="24"/>
          <w:szCs w:val="24"/>
        </w:rPr>
        <w:t xml:space="preserve"> </w:t>
      </w:r>
      <w:r>
        <w:rPr>
          <w:sz w:val="24"/>
          <w:szCs w:val="24"/>
        </w:rPr>
        <w:t>financijski plan za 2023. godinu. Indeks od 99,77 na stavci 313-doprinosi na plaće također ukazuje na isto, nešto niži indeks od 96,39 odnosi se na manju realizaciju ostalih rashoda za zaposlene zbog manje isplaćenih pomoći po Kolektivnom ugovoru za državne službenike i namještenike u odnosu na planirana sredstva.</w:t>
      </w:r>
    </w:p>
    <w:p w14:paraId="0DEE71A1" w14:textId="77777777" w:rsidR="00E54EB0" w:rsidRDefault="00E54EB0" w:rsidP="00127CD1">
      <w:pPr>
        <w:pStyle w:val="Tijeloteksta"/>
        <w:spacing w:before="91"/>
        <w:ind w:right="126"/>
        <w:rPr>
          <w:sz w:val="24"/>
          <w:szCs w:val="24"/>
        </w:rPr>
      </w:pPr>
    </w:p>
    <w:p w14:paraId="0F89E1CB" w14:textId="77777777" w:rsidR="00E54EB0" w:rsidRDefault="00E54EB0" w:rsidP="00127CD1">
      <w:pPr>
        <w:pStyle w:val="Tijeloteksta"/>
        <w:spacing w:before="91"/>
        <w:ind w:right="126"/>
        <w:rPr>
          <w:sz w:val="24"/>
          <w:szCs w:val="24"/>
        </w:rPr>
      </w:pPr>
    </w:p>
    <w:p w14:paraId="37A7D3FB" w14:textId="77777777" w:rsidR="00E54EB0" w:rsidRPr="00A415B9" w:rsidRDefault="00E54EB0" w:rsidP="00127CD1">
      <w:pPr>
        <w:pStyle w:val="Tijeloteksta"/>
        <w:spacing w:before="91"/>
        <w:ind w:right="126"/>
        <w:rPr>
          <w:sz w:val="24"/>
          <w:szCs w:val="24"/>
        </w:rPr>
      </w:pPr>
    </w:p>
    <w:p w14:paraId="1711FFFB" w14:textId="77777777" w:rsidR="00CF2FB7" w:rsidRPr="00A415B9" w:rsidRDefault="00CF2FB7" w:rsidP="00127CD1">
      <w:pPr>
        <w:pStyle w:val="Tijeloteksta"/>
        <w:spacing w:before="91"/>
        <w:ind w:right="126"/>
        <w:rPr>
          <w:sz w:val="24"/>
          <w:szCs w:val="24"/>
        </w:rPr>
      </w:pPr>
    </w:p>
    <w:p w14:paraId="36A25CA9" w14:textId="6B8CE9E4" w:rsidR="00CF2FB7" w:rsidRPr="00A415B9" w:rsidRDefault="00CF2FB7" w:rsidP="00566762">
      <w:pPr>
        <w:pStyle w:val="Naslov1"/>
        <w:tabs>
          <w:tab w:val="left" w:pos="10314"/>
        </w:tabs>
        <w:spacing w:before="96"/>
        <w:ind w:left="0"/>
        <w:rPr>
          <w:b w:val="0"/>
          <w:sz w:val="24"/>
          <w:szCs w:val="24"/>
        </w:rPr>
      </w:pPr>
      <w:r w:rsidRPr="00A415B9">
        <w:rPr>
          <w:sz w:val="24"/>
          <w:szCs w:val="24"/>
        </w:rPr>
        <w:lastRenderedPageBreak/>
        <w:t>Rashodi za materijal i energiju A640000 10975 Županijsko državno odvjetništvo u Osijeku</w:t>
      </w:r>
    </w:p>
    <w:p w14:paraId="4641041F" w14:textId="44160FC8" w:rsidR="00CF2FB7" w:rsidRPr="00A415B9" w:rsidRDefault="00CF2FB7" w:rsidP="00127CD1">
      <w:pPr>
        <w:pStyle w:val="Tijeloteksta"/>
        <w:spacing w:before="91"/>
        <w:ind w:right="126"/>
        <w:rPr>
          <w:sz w:val="24"/>
          <w:szCs w:val="24"/>
        </w:rPr>
      </w:pPr>
    </w:p>
    <w:p w14:paraId="4287AC1D" w14:textId="79E374C7" w:rsidR="00E54EB0" w:rsidRPr="00A415B9" w:rsidRDefault="00E54EB0" w:rsidP="00127CD1">
      <w:pPr>
        <w:pStyle w:val="Tijeloteksta"/>
        <w:spacing w:before="91"/>
        <w:ind w:right="126"/>
        <w:rPr>
          <w:sz w:val="24"/>
          <w:szCs w:val="24"/>
        </w:rPr>
      </w:pPr>
      <w:r w:rsidRPr="00E54EB0">
        <w:rPr>
          <w:noProof/>
          <w:lang w:eastAsia="hr-HR"/>
        </w:rPr>
        <w:drawing>
          <wp:inline distT="0" distB="0" distL="0" distR="0" wp14:anchorId="23554B6B" wp14:editId="48E98B09">
            <wp:extent cx="6635750" cy="363171"/>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750" cy="363171"/>
                    </a:xfrm>
                    <a:prstGeom prst="rect">
                      <a:avLst/>
                    </a:prstGeom>
                    <a:noFill/>
                    <a:ln>
                      <a:noFill/>
                    </a:ln>
                  </pic:spPr>
                </pic:pic>
              </a:graphicData>
            </a:graphic>
          </wp:inline>
        </w:drawing>
      </w:r>
      <w:r w:rsidRPr="00E54EB0">
        <w:rPr>
          <w:noProof/>
          <w:lang w:eastAsia="hr-HR"/>
        </w:rPr>
        <w:drawing>
          <wp:inline distT="0" distB="0" distL="0" distR="0" wp14:anchorId="572EB509" wp14:editId="19F22789">
            <wp:extent cx="6635750" cy="124608"/>
            <wp:effectExtent l="0" t="0" r="0" b="889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5750" cy="124608"/>
                    </a:xfrm>
                    <a:prstGeom prst="rect">
                      <a:avLst/>
                    </a:prstGeom>
                    <a:noFill/>
                    <a:ln>
                      <a:noFill/>
                    </a:ln>
                  </pic:spPr>
                </pic:pic>
              </a:graphicData>
            </a:graphic>
          </wp:inline>
        </w:drawing>
      </w:r>
    </w:p>
    <w:p w14:paraId="2A4B21D2" w14:textId="0F461B59" w:rsidR="00CF2FB7" w:rsidRPr="00A415B9" w:rsidRDefault="00E54EB0" w:rsidP="00CF2FB7">
      <w:pPr>
        <w:pStyle w:val="Tijeloteksta"/>
        <w:spacing w:before="91"/>
        <w:ind w:right="126"/>
        <w:rPr>
          <w:sz w:val="24"/>
          <w:szCs w:val="24"/>
        </w:rPr>
      </w:pPr>
      <w:r>
        <w:rPr>
          <w:sz w:val="24"/>
          <w:szCs w:val="24"/>
        </w:rPr>
        <w:t xml:space="preserve">Prema indeksu izvršenja 100,00 u odnosu na </w:t>
      </w:r>
      <w:r w:rsidR="00CF2FB7" w:rsidRPr="00A415B9">
        <w:rPr>
          <w:sz w:val="24"/>
          <w:szCs w:val="24"/>
        </w:rPr>
        <w:t>tekući plan 2023. na stavci 322-rashodi za materijal i ene</w:t>
      </w:r>
      <w:r>
        <w:rPr>
          <w:sz w:val="24"/>
          <w:szCs w:val="24"/>
        </w:rPr>
        <w:t xml:space="preserve">rgiju vidljivo je da smo na </w:t>
      </w:r>
      <w:r w:rsidR="00CF2FB7" w:rsidRPr="00A415B9">
        <w:rPr>
          <w:sz w:val="24"/>
          <w:szCs w:val="24"/>
        </w:rPr>
        <w:t>godišnjoj razini po izvršenjima</w:t>
      </w:r>
      <w:r>
        <w:rPr>
          <w:sz w:val="24"/>
          <w:szCs w:val="24"/>
        </w:rPr>
        <w:t xml:space="preserve"> u potpunosti realizirali financijski plan za 2023. godinu.</w:t>
      </w:r>
    </w:p>
    <w:p w14:paraId="0BB2EB1D" w14:textId="77777777" w:rsidR="00D43635" w:rsidRDefault="00D43635" w:rsidP="00D43635">
      <w:pPr>
        <w:pStyle w:val="Naslov2"/>
        <w:ind w:left="0"/>
        <w:rPr>
          <w:b w:val="0"/>
          <w:sz w:val="24"/>
          <w:szCs w:val="24"/>
        </w:rPr>
      </w:pPr>
    </w:p>
    <w:p w14:paraId="05DF9566" w14:textId="2972A77D" w:rsidR="00B47696" w:rsidRDefault="00B827C4" w:rsidP="00D43635">
      <w:pPr>
        <w:pStyle w:val="Naslov2"/>
        <w:ind w:left="0"/>
        <w:rPr>
          <w:sz w:val="24"/>
          <w:szCs w:val="24"/>
        </w:rPr>
      </w:pPr>
      <w:r w:rsidRPr="00A415B9">
        <w:rPr>
          <w:sz w:val="24"/>
          <w:szCs w:val="24"/>
        </w:rPr>
        <w:t>Rashodi za usluge A640000 10975 Županijsko državno odvjetništvo u Osijeku</w:t>
      </w:r>
    </w:p>
    <w:p w14:paraId="1F1CF635" w14:textId="77777777" w:rsidR="00F36F07" w:rsidRDefault="00F36F07" w:rsidP="00C44DD7">
      <w:pPr>
        <w:pStyle w:val="Naslov2"/>
        <w:rPr>
          <w:sz w:val="24"/>
          <w:szCs w:val="24"/>
        </w:rPr>
      </w:pPr>
    </w:p>
    <w:p w14:paraId="03C724D3" w14:textId="351E22BA" w:rsidR="00F36F07" w:rsidRDefault="00F36F07" w:rsidP="00F36F07">
      <w:pPr>
        <w:pStyle w:val="Naslov2"/>
        <w:rPr>
          <w:sz w:val="24"/>
          <w:szCs w:val="24"/>
        </w:rPr>
      </w:pPr>
      <w:r w:rsidRPr="00E54EB0">
        <w:rPr>
          <w:noProof/>
          <w:lang w:eastAsia="hr-HR"/>
        </w:rPr>
        <w:drawing>
          <wp:inline distT="0" distB="0" distL="0" distR="0" wp14:anchorId="2FB871FF" wp14:editId="158DC364">
            <wp:extent cx="6635750" cy="362585"/>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5750" cy="362585"/>
                    </a:xfrm>
                    <a:prstGeom prst="rect">
                      <a:avLst/>
                    </a:prstGeom>
                    <a:noFill/>
                    <a:ln>
                      <a:noFill/>
                    </a:ln>
                  </pic:spPr>
                </pic:pic>
              </a:graphicData>
            </a:graphic>
          </wp:inline>
        </w:drawing>
      </w:r>
      <w:r w:rsidRPr="00F36F07">
        <w:rPr>
          <w:noProof/>
          <w:lang w:eastAsia="hr-HR"/>
        </w:rPr>
        <w:drawing>
          <wp:inline distT="0" distB="0" distL="0" distR="0" wp14:anchorId="07491668" wp14:editId="0074E25F">
            <wp:extent cx="6635750" cy="124608"/>
            <wp:effectExtent l="0" t="0" r="0" b="889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124608"/>
                    </a:xfrm>
                    <a:prstGeom prst="rect">
                      <a:avLst/>
                    </a:prstGeom>
                    <a:noFill/>
                    <a:ln>
                      <a:noFill/>
                    </a:ln>
                  </pic:spPr>
                </pic:pic>
              </a:graphicData>
            </a:graphic>
          </wp:inline>
        </w:drawing>
      </w:r>
    </w:p>
    <w:p w14:paraId="09DC5E0A" w14:textId="37E7C8DA" w:rsidR="00F36F07" w:rsidRPr="00A415B9" w:rsidRDefault="00D43635" w:rsidP="00C44DD7">
      <w:pPr>
        <w:pStyle w:val="Naslov2"/>
        <w:rPr>
          <w:sz w:val="24"/>
          <w:szCs w:val="24"/>
        </w:rPr>
      </w:pPr>
      <w:r w:rsidRPr="00D43635">
        <w:rPr>
          <w:noProof/>
          <w:lang w:eastAsia="hr-HR"/>
        </w:rPr>
        <w:drawing>
          <wp:inline distT="0" distB="0" distL="0" distR="0" wp14:anchorId="1CF321DA" wp14:editId="04249D4B">
            <wp:extent cx="6635750" cy="141488"/>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5750" cy="141488"/>
                    </a:xfrm>
                    <a:prstGeom prst="rect">
                      <a:avLst/>
                    </a:prstGeom>
                    <a:noFill/>
                    <a:ln>
                      <a:noFill/>
                    </a:ln>
                  </pic:spPr>
                </pic:pic>
              </a:graphicData>
            </a:graphic>
          </wp:inline>
        </w:drawing>
      </w:r>
    </w:p>
    <w:p w14:paraId="6DB07D9E" w14:textId="11BC051D" w:rsidR="00B827C4" w:rsidRPr="00A415B9" w:rsidRDefault="00F36F07" w:rsidP="00A415B9">
      <w:pPr>
        <w:pStyle w:val="Naslov2"/>
        <w:ind w:left="0"/>
        <w:rPr>
          <w:b w:val="0"/>
          <w:sz w:val="24"/>
          <w:szCs w:val="24"/>
        </w:rPr>
      </w:pPr>
      <w:r>
        <w:rPr>
          <w:b w:val="0"/>
          <w:sz w:val="24"/>
          <w:szCs w:val="24"/>
        </w:rPr>
        <w:t>Prema indeksu izvršenja 100,00</w:t>
      </w:r>
      <w:r w:rsidR="00B827C4" w:rsidRPr="00A415B9">
        <w:rPr>
          <w:b w:val="0"/>
          <w:sz w:val="24"/>
          <w:szCs w:val="24"/>
        </w:rPr>
        <w:t xml:space="preserve"> </w:t>
      </w:r>
      <w:r>
        <w:rPr>
          <w:b w:val="0"/>
          <w:sz w:val="24"/>
          <w:szCs w:val="24"/>
        </w:rPr>
        <w:t xml:space="preserve">u odnosu na izvršenje i </w:t>
      </w:r>
      <w:r w:rsidR="00B827C4" w:rsidRPr="00A415B9">
        <w:rPr>
          <w:b w:val="0"/>
          <w:sz w:val="24"/>
          <w:szCs w:val="24"/>
        </w:rPr>
        <w:t>tekući plan 2023. na stavci 323-rashodi za u</w:t>
      </w:r>
      <w:r>
        <w:rPr>
          <w:b w:val="0"/>
          <w:sz w:val="24"/>
          <w:szCs w:val="24"/>
        </w:rPr>
        <w:t xml:space="preserve">sluge vidljivo je da smo na </w:t>
      </w:r>
      <w:r w:rsidR="00B827C4" w:rsidRPr="00A415B9">
        <w:rPr>
          <w:b w:val="0"/>
          <w:sz w:val="24"/>
          <w:szCs w:val="24"/>
        </w:rPr>
        <w:t xml:space="preserve">godišnjoj razini po izvršenjima </w:t>
      </w:r>
      <w:r>
        <w:rPr>
          <w:b w:val="0"/>
          <w:sz w:val="24"/>
          <w:szCs w:val="24"/>
        </w:rPr>
        <w:t>u cijelosti realizi</w:t>
      </w:r>
      <w:r w:rsidR="00E52C93">
        <w:rPr>
          <w:b w:val="0"/>
          <w:sz w:val="24"/>
          <w:szCs w:val="24"/>
        </w:rPr>
        <w:t>rali financijski plan za 2023. g</w:t>
      </w:r>
      <w:r>
        <w:rPr>
          <w:b w:val="0"/>
          <w:sz w:val="24"/>
          <w:szCs w:val="24"/>
        </w:rPr>
        <w:t>odinu. Tekući plan je veći u odnosu na izvorni plan ili rebalans zbog većih troškova nastalih tijekom godine, osobito na stavci intelektualnih uslug</w:t>
      </w:r>
      <w:r w:rsidR="00E52C93">
        <w:rPr>
          <w:b w:val="0"/>
          <w:sz w:val="24"/>
          <w:szCs w:val="24"/>
        </w:rPr>
        <w:t xml:space="preserve">a. </w:t>
      </w:r>
      <w:r w:rsidR="00B827C4" w:rsidRPr="00A415B9">
        <w:rPr>
          <w:b w:val="0"/>
          <w:sz w:val="24"/>
          <w:szCs w:val="24"/>
        </w:rPr>
        <w:t>Iz tablice posebnog dijela izvještaja o polugodišnjem izvršenju proračuna i financijskog plana može se vidjeti da je značajno odstupanje nastalo na stav</w:t>
      </w:r>
      <w:r w:rsidR="00E52C93">
        <w:rPr>
          <w:b w:val="0"/>
          <w:sz w:val="24"/>
          <w:szCs w:val="24"/>
        </w:rPr>
        <w:t xml:space="preserve">ci 3237-intelektualne usluge. </w:t>
      </w:r>
    </w:p>
    <w:p w14:paraId="43296C37" w14:textId="6D8BD75C" w:rsidR="00A415B9" w:rsidRDefault="00A415B9" w:rsidP="00A415B9">
      <w:pPr>
        <w:jc w:val="both"/>
        <w:rPr>
          <w:sz w:val="24"/>
          <w:szCs w:val="24"/>
        </w:rPr>
      </w:pPr>
      <w:r w:rsidRPr="00A415B9">
        <w:rPr>
          <w:sz w:val="24"/>
          <w:szCs w:val="24"/>
        </w:rPr>
        <w:t>Troškovi intelektualnih usluga</w:t>
      </w:r>
      <w:r w:rsidR="00566762">
        <w:rPr>
          <w:sz w:val="24"/>
          <w:szCs w:val="24"/>
        </w:rPr>
        <w:t xml:space="preserve"> (Grafikon 1.)</w:t>
      </w:r>
      <w:r w:rsidRPr="00A415B9">
        <w:rPr>
          <w:sz w:val="24"/>
          <w:szCs w:val="24"/>
        </w:rPr>
        <w:t xml:space="preserve"> su najveća stavka skupine rashoda za usluge u aktivnosti A640000, odnose se na vještačenja (medicinska, građevinska, prometna, računovodstveno-financijska vještačenja i dr.) usluge odvjetnika po službenoj dužnosti, usluge tumača, usluge bolničkih troškova (obdukcije i dr.) ista se ne mogu točno planirati jer ovise o nužnosti i specifičnosti zaprimljenih predmeta.</w:t>
      </w:r>
    </w:p>
    <w:p w14:paraId="4B218BE0" w14:textId="77777777" w:rsidR="00C92EBE" w:rsidRDefault="00C92EBE" w:rsidP="00A415B9">
      <w:pPr>
        <w:jc w:val="both"/>
        <w:rPr>
          <w:sz w:val="24"/>
          <w:szCs w:val="24"/>
        </w:rPr>
      </w:pPr>
    </w:p>
    <w:p w14:paraId="60FFF3F4" w14:textId="77777777" w:rsidR="00C92EBE" w:rsidRDefault="00C92EBE" w:rsidP="00A415B9">
      <w:pPr>
        <w:jc w:val="both"/>
        <w:rPr>
          <w:sz w:val="24"/>
          <w:szCs w:val="24"/>
        </w:rPr>
      </w:pPr>
    </w:p>
    <w:p w14:paraId="163D0B92" w14:textId="77777777" w:rsidR="00C92EBE" w:rsidRPr="00566762" w:rsidRDefault="00C92EBE" w:rsidP="00C92EBE">
      <w:pPr>
        <w:pStyle w:val="Naslov2"/>
        <w:jc w:val="both"/>
        <w:rPr>
          <w:b w:val="0"/>
          <w:sz w:val="24"/>
          <w:szCs w:val="24"/>
        </w:rPr>
      </w:pPr>
      <w:r w:rsidRPr="00566762">
        <w:rPr>
          <w:b w:val="0"/>
          <w:sz w:val="24"/>
          <w:szCs w:val="24"/>
        </w:rPr>
        <w:t>Grafikon 1. Intelektualne usluge u odnosu na ukupne rashode za usluge</w:t>
      </w:r>
    </w:p>
    <w:p w14:paraId="563EC0D7" w14:textId="77777777" w:rsidR="00C92EBE" w:rsidRPr="00A415B9" w:rsidRDefault="00C92EBE" w:rsidP="00A415B9">
      <w:pPr>
        <w:jc w:val="both"/>
        <w:rPr>
          <w:sz w:val="24"/>
          <w:szCs w:val="24"/>
        </w:rPr>
      </w:pPr>
    </w:p>
    <w:p w14:paraId="5A48E287" w14:textId="446A3E86" w:rsidR="00E91848" w:rsidRPr="00A415B9" w:rsidRDefault="00566762" w:rsidP="00D43635">
      <w:pPr>
        <w:pStyle w:val="Naslov2"/>
        <w:jc w:val="center"/>
        <w:rPr>
          <w:sz w:val="24"/>
          <w:szCs w:val="24"/>
        </w:rPr>
      </w:pPr>
      <w:r w:rsidRPr="00A415B9">
        <w:rPr>
          <w:noProof/>
          <w:sz w:val="24"/>
          <w:szCs w:val="24"/>
          <w:lang w:eastAsia="hr-HR"/>
        </w:rPr>
        <w:drawing>
          <wp:inline distT="0" distB="0" distL="0" distR="0" wp14:anchorId="3AAC63F2" wp14:editId="3818D063">
            <wp:extent cx="5486400" cy="3200400"/>
            <wp:effectExtent l="0" t="0" r="19050" b="190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E91848" w:rsidRPr="00A415B9">
      <w:headerReference w:type="even" r:id="rId16"/>
      <w:headerReference w:type="default" r:id="rId17"/>
      <w:footerReference w:type="even" r:id="rId18"/>
      <w:footerReference w:type="default" r:id="rId19"/>
      <w:headerReference w:type="first" r:id="rId20"/>
      <w:footerReference w:type="first" r:id="rId21"/>
      <w:pgSz w:w="11910" w:h="16840"/>
      <w:pgMar w:top="920" w:right="72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828BB" w14:textId="77777777" w:rsidR="00E25C2A" w:rsidRDefault="00E25C2A" w:rsidP="005320D4">
      <w:r>
        <w:separator/>
      </w:r>
    </w:p>
  </w:endnote>
  <w:endnote w:type="continuationSeparator" w:id="0">
    <w:p w14:paraId="6A1C5144" w14:textId="77777777" w:rsidR="00E25C2A" w:rsidRDefault="00E25C2A" w:rsidP="0053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728B5" w14:textId="77777777" w:rsidR="00EF7264" w:rsidRDefault="00EF726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D18D7" w14:textId="4940537A" w:rsidR="005320D4" w:rsidRPr="005320D4" w:rsidRDefault="00A27C93">
    <w:pPr>
      <w:pStyle w:val="Podnoje"/>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Županijsko</w:t>
    </w:r>
    <w:r w:rsidR="005320D4" w:rsidRPr="005320D4">
      <w:rPr>
        <w:rFonts w:asciiTheme="majorHAnsi" w:eastAsiaTheme="majorEastAsia" w:hAnsiTheme="majorHAnsi" w:cstheme="majorBidi"/>
        <w:sz w:val="16"/>
        <w:szCs w:val="16"/>
      </w:rPr>
      <w:t xml:space="preserve"> državno odvjetništvo u Os</w:t>
    </w:r>
    <w:r w:rsidR="00EF7264">
      <w:rPr>
        <w:rFonts w:asciiTheme="majorHAnsi" w:eastAsiaTheme="majorEastAsia" w:hAnsiTheme="majorHAnsi" w:cstheme="majorBidi"/>
        <w:sz w:val="16"/>
        <w:szCs w:val="16"/>
      </w:rPr>
      <w:t>ijeku-o</w:t>
    </w:r>
    <w:r w:rsidR="00120716">
      <w:rPr>
        <w:rFonts w:asciiTheme="majorHAnsi" w:eastAsiaTheme="majorEastAsia" w:hAnsiTheme="majorHAnsi" w:cstheme="majorBidi"/>
        <w:sz w:val="16"/>
        <w:szCs w:val="16"/>
      </w:rPr>
      <w:t xml:space="preserve">brazloženje posebnog dijela </w:t>
    </w:r>
    <w:r w:rsidR="00EF7264">
      <w:rPr>
        <w:rFonts w:asciiTheme="majorHAnsi" w:eastAsiaTheme="majorEastAsia" w:hAnsiTheme="majorHAnsi" w:cstheme="majorBidi"/>
        <w:sz w:val="16"/>
        <w:szCs w:val="16"/>
      </w:rPr>
      <w:t>godišnjeg izvještaja o izvršenju proračuna i financijskog plana</w:t>
    </w:r>
    <w:r w:rsidR="005320D4" w:rsidRPr="005320D4">
      <w:rPr>
        <w:rFonts w:asciiTheme="majorHAnsi" w:eastAsiaTheme="majorEastAsia" w:hAnsiTheme="majorHAnsi" w:cstheme="majorBidi"/>
        <w:sz w:val="16"/>
        <w:szCs w:val="16"/>
      </w:rPr>
      <w:ptab w:relativeTo="margin" w:alignment="right" w:leader="none"/>
    </w:r>
    <w:r w:rsidR="005320D4" w:rsidRPr="005320D4">
      <w:rPr>
        <w:rFonts w:asciiTheme="majorHAnsi" w:eastAsiaTheme="majorEastAsia" w:hAnsiTheme="majorHAnsi" w:cstheme="majorBidi"/>
        <w:sz w:val="16"/>
        <w:szCs w:val="16"/>
      </w:rPr>
      <w:t xml:space="preserve">Stranica </w:t>
    </w:r>
    <w:r w:rsidR="005320D4" w:rsidRPr="005320D4">
      <w:rPr>
        <w:rFonts w:asciiTheme="minorHAnsi" w:eastAsiaTheme="minorEastAsia" w:hAnsiTheme="minorHAnsi" w:cstheme="minorBidi"/>
        <w:sz w:val="16"/>
        <w:szCs w:val="16"/>
      </w:rPr>
      <w:fldChar w:fldCharType="begin"/>
    </w:r>
    <w:r w:rsidR="005320D4" w:rsidRPr="005320D4">
      <w:rPr>
        <w:sz w:val="16"/>
        <w:szCs w:val="16"/>
      </w:rPr>
      <w:instrText>PAGE   \* MERGEFORMAT</w:instrText>
    </w:r>
    <w:r w:rsidR="005320D4" w:rsidRPr="005320D4">
      <w:rPr>
        <w:rFonts w:asciiTheme="minorHAnsi" w:eastAsiaTheme="minorEastAsia" w:hAnsiTheme="minorHAnsi" w:cstheme="minorBidi"/>
        <w:sz w:val="16"/>
        <w:szCs w:val="16"/>
      </w:rPr>
      <w:fldChar w:fldCharType="separate"/>
    </w:r>
    <w:r w:rsidR="00B150D2" w:rsidRPr="00B150D2">
      <w:rPr>
        <w:rFonts w:asciiTheme="majorHAnsi" w:eastAsiaTheme="majorEastAsia" w:hAnsiTheme="majorHAnsi" w:cstheme="majorBidi"/>
        <w:noProof/>
        <w:sz w:val="16"/>
        <w:szCs w:val="16"/>
      </w:rPr>
      <w:t>1</w:t>
    </w:r>
    <w:r w:rsidR="005320D4" w:rsidRPr="005320D4">
      <w:rPr>
        <w:rFonts w:asciiTheme="majorHAnsi" w:eastAsiaTheme="majorEastAsia" w:hAnsiTheme="majorHAnsi" w:cstheme="majorBidi"/>
        <w:sz w:val="16"/>
        <w:szCs w:val="16"/>
      </w:rPr>
      <w:fldChar w:fldCharType="end"/>
    </w:r>
  </w:p>
  <w:p w14:paraId="7FEE0616" w14:textId="77777777" w:rsidR="005320D4" w:rsidRPr="005320D4" w:rsidRDefault="005320D4">
    <w:pPr>
      <w:pStyle w:val="Podnoje"/>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D073" w14:textId="77777777" w:rsidR="00EF7264" w:rsidRDefault="00EF726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D073F" w14:textId="77777777" w:rsidR="00E25C2A" w:rsidRDefault="00E25C2A" w:rsidP="005320D4">
      <w:r>
        <w:separator/>
      </w:r>
    </w:p>
  </w:footnote>
  <w:footnote w:type="continuationSeparator" w:id="0">
    <w:p w14:paraId="2D592F28" w14:textId="77777777" w:rsidR="00E25C2A" w:rsidRDefault="00E25C2A" w:rsidP="0053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44959" w14:textId="77777777" w:rsidR="00EF7264" w:rsidRDefault="00EF726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AD173" w14:textId="77777777" w:rsidR="00EF7264" w:rsidRDefault="00EF7264">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00B2" w14:textId="77777777" w:rsidR="00EF7264" w:rsidRDefault="00EF726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63BD"/>
    <w:multiLevelType w:val="hybridMultilevel"/>
    <w:tmpl w:val="36C6CF10"/>
    <w:lvl w:ilvl="0" w:tplc="21A87014">
      <w:numFmt w:val="bullet"/>
      <w:lvlText w:val="-"/>
      <w:lvlJc w:val="left"/>
      <w:pPr>
        <w:ind w:left="111" w:hanging="129"/>
      </w:pPr>
      <w:rPr>
        <w:rFonts w:ascii="Times New Roman" w:eastAsia="Times New Roman" w:hAnsi="Times New Roman" w:cs="Times New Roman" w:hint="default"/>
        <w:w w:val="99"/>
        <w:sz w:val="22"/>
        <w:szCs w:val="22"/>
        <w:lang w:val="hr-HR" w:eastAsia="en-US" w:bidi="ar-SA"/>
      </w:rPr>
    </w:lvl>
    <w:lvl w:ilvl="1" w:tplc="31249098">
      <w:numFmt w:val="bullet"/>
      <w:lvlText w:val="•"/>
      <w:lvlJc w:val="left"/>
      <w:pPr>
        <w:ind w:left="1152" w:hanging="129"/>
      </w:pPr>
      <w:rPr>
        <w:rFonts w:hint="default"/>
        <w:lang w:val="hr-HR" w:eastAsia="en-US" w:bidi="ar-SA"/>
      </w:rPr>
    </w:lvl>
    <w:lvl w:ilvl="2" w:tplc="88C8D628">
      <w:numFmt w:val="bullet"/>
      <w:lvlText w:val="•"/>
      <w:lvlJc w:val="left"/>
      <w:pPr>
        <w:ind w:left="2185" w:hanging="129"/>
      </w:pPr>
      <w:rPr>
        <w:rFonts w:hint="default"/>
        <w:lang w:val="hr-HR" w:eastAsia="en-US" w:bidi="ar-SA"/>
      </w:rPr>
    </w:lvl>
    <w:lvl w:ilvl="3" w:tplc="36A0F510">
      <w:numFmt w:val="bullet"/>
      <w:lvlText w:val="•"/>
      <w:lvlJc w:val="left"/>
      <w:pPr>
        <w:ind w:left="3217" w:hanging="129"/>
      </w:pPr>
      <w:rPr>
        <w:rFonts w:hint="default"/>
        <w:lang w:val="hr-HR" w:eastAsia="en-US" w:bidi="ar-SA"/>
      </w:rPr>
    </w:lvl>
    <w:lvl w:ilvl="4" w:tplc="087CEE3C">
      <w:numFmt w:val="bullet"/>
      <w:lvlText w:val="•"/>
      <w:lvlJc w:val="left"/>
      <w:pPr>
        <w:ind w:left="4250" w:hanging="129"/>
      </w:pPr>
      <w:rPr>
        <w:rFonts w:hint="default"/>
        <w:lang w:val="hr-HR" w:eastAsia="en-US" w:bidi="ar-SA"/>
      </w:rPr>
    </w:lvl>
    <w:lvl w:ilvl="5" w:tplc="0466363C">
      <w:numFmt w:val="bullet"/>
      <w:lvlText w:val="•"/>
      <w:lvlJc w:val="left"/>
      <w:pPr>
        <w:ind w:left="5283" w:hanging="129"/>
      </w:pPr>
      <w:rPr>
        <w:rFonts w:hint="default"/>
        <w:lang w:val="hr-HR" w:eastAsia="en-US" w:bidi="ar-SA"/>
      </w:rPr>
    </w:lvl>
    <w:lvl w:ilvl="6" w:tplc="0F405A32">
      <w:numFmt w:val="bullet"/>
      <w:lvlText w:val="•"/>
      <w:lvlJc w:val="left"/>
      <w:pPr>
        <w:ind w:left="6315" w:hanging="129"/>
      </w:pPr>
      <w:rPr>
        <w:rFonts w:hint="default"/>
        <w:lang w:val="hr-HR" w:eastAsia="en-US" w:bidi="ar-SA"/>
      </w:rPr>
    </w:lvl>
    <w:lvl w:ilvl="7" w:tplc="B35EAC4E">
      <w:numFmt w:val="bullet"/>
      <w:lvlText w:val="•"/>
      <w:lvlJc w:val="left"/>
      <w:pPr>
        <w:ind w:left="7348" w:hanging="129"/>
      </w:pPr>
      <w:rPr>
        <w:rFonts w:hint="default"/>
        <w:lang w:val="hr-HR" w:eastAsia="en-US" w:bidi="ar-SA"/>
      </w:rPr>
    </w:lvl>
    <w:lvl w:ilvl="8" w:tplc="9CDE8AB0">
      <w:numFmt w:val="bullet"/>
      <w:lvlText w:val="•"/>
      <w:lvlJc w:val="left"/>
      <w:pPr>
        <w:ind w:left="8380" w:hanging="129"/>
      </w:pPr>
      <w:rPr>
        <w:rFonts w:hint="default"/>
        <w:lang w:val="hr-HR" w:eastAsia="en-US" w:bidi="ar-SA"/>
      </w:rPr>
    </w:lvl>
  </w:abstractNum>
  <w:abstractNum w:abstractNumId="1">
    <w:nsid w:val="5DC7783F"/>
    <w:multiLevelType w:val="hybridMultilevel"/>
    <w:tmpl w:val="BF18844A"/>
    <w:lvl w:ilvl="0" w:tplc="D0C25412">
      <w:start w:val="1"/>
      <w:numFmt w:val="decimal"/>
      <w:lvlText w:val="%1."/>
      <w:lvlJc w:val="left"/>
      <w:pPr>
        <w:ind w:left="470" w:hanging="360"/>
      </w:pPr>
      <w:rPr>
        <w:rFonts w:hint="default"/>
      </w:rPr>
    </w:lvl>
    <w:lvl w:ilvl="1" w:tplc="041A0019" w:tentative="1">
      <w:start w:val="1"/>
      <w:numFmt w:val="lowerLetter"/>
      <w:lvlText w:val="%2."/>
      <w:lvlJc w:val="left"/>
      <w:pPr>
        <w:ind w:left="1190" w:hanging="360"/>
      </w:pPr>
    </w:lvl>
    <w:lvl w:ilvl="2" w:tplc="041A001B" w:tentative="1">
      <w:start w:val="1"/>
      <w:numFmt w:val="lowerRoman"/>
      <w:lvlText w:val="%3."/>
      <w:lvlJc w:val="right"/>
      <w:pPr>
        <w:ind w:left="1910" w:hanging="180"/>
      </w:pPr>
    </w:lvl>
    <w:lvl w:ilvl="3" w:tplc="041A000F" w:tentative="1">
      <w:start w:val="1"/>
      <w:numFmt w:val="decimal"/>
      <w:lvlText w:val="%4."/>
      <w:lvlJc w:val="left"/>
      <w:pPr>
        <w:ind w:left="2630" w:hanging="360"/>
      </w:pPr>
    </w:lvl>
    <w:lvl w:ilvl="4" w:tplc="041A0019" w:tentative="1">
      <w:start w:val="1"/>
      <w:numFmt w:val="lowerLetter"/>
      <w:lvlText w:val="%5."/>
      <w:lvlJc w:val="left"/>
      <w:pPr>
        <w:ind w:left="3350" w:hanging="360"/>
      </w:pPr>
    </w:lvl>
    <w:lvl w:ilvl="5" w:tplc="041A001B" w:tentative="1">
      <w:start w:val="1"/>
      <w:numFmt w:val="lowerRoman"/>
      <w:lvlText w:val="%6."/>
      <w:lvlJc w:val="right"/>
      <w:pPr>
        <w:ind w:left="4070" w:hanging="180"/>
      </w:pPr>
    </w:lvl>
    <w:lvl w:ilvl="6" w:tplc="041A000F" w:tentative="1">
      <w:start w:val="1"/>
      <w:numFmt w:val="decimal"/>
      <w:lvlText w:val="%7."/>
      <w:lvlJc w:val="left"/>
      <w:pPr>
        <w:ind w:left="4790" w:hanging="360"/>
      </w:pPr>
    </w:lvl>
    <w:lvl w:ilvl="7" w:tplc="041A0019" w:tentative="1">
      <w:start w:val="1"/>
      <w:numFmt w:val="lowerLetter"/>
      <w:lvlText w:val="%8."/>
      <w:lvlJc w:val="left"/>
      <w:pPr>
        <w:ind w:left="5510" w:hanging="360"/>
      </w:pPr>
    </w:lvl>
    <w:lvl w:ilvl="8" w:tplc="041A001B" w:tentative="1">
      <w:start w:val="1"/>
      <w:numFmt w:val="lowerRoman"/>
      <w:lvlText w:val="%9."/>
      <w:lvlJc w:val="right"/>
      <w:pPr>
        <w:ind w:left="62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1848"/>
    <w:rsid w:val="0001128A"/>
    <w:rsid w:val="00013414"/>
    <w:rsid w:val="00017C86"/>
    <w:rsid w:val="000262C2"/>
    <w:rsid w:val="00045022"/>
    <w:rsid w:val="00056E34"/>
    <w:rsid w:val="0007312A"/>
    <w:rsid w:val="0007742B"/>
    <w:rsid w:val="000B1CCF"/>
    <w:rsid w:val="000B2B6F"/>
    <w:rsid w:val="00120716"/>
    <w:rsid w:val="00124D62"/>
    <w:rsid w:val="00127CD1"/>
    <w:rsid w:val="001316CA"/>
    <w:rsid w:val="001403AF"/>
    <w:rsid w:val="0014420E"/>
    <w:rsid w:val="00147A58"/>
    <w:rsid w:val="00171B33"/>
    <w:rsid w:val="00175E29"/>
    <w:rsid w:val="001B2C07"/>
    <w:rsid w:val="001D5E0E"/>
    <w:rsid w:val="001F5FB9"/>
    <w:rsid w:val="0021277D"/>
    <w:rsid w:val="00222F09"/>
    <w:rsid w:val="0023098D"/>
    <w:rsid w:val="00231872"/>
    <w:rsid w:val="00235BAC"/>
    <w:rsid w:val="002528D9"/>
    <w:rsid w:val="002543DA"/>
    <w:rsid w:val="0027064B"/>
    <w:rsid w:val="00272417"/>
    <w:rsid w:val="002A17E1"/>
    <w:rsid w:val="002A4E1C"/>
    <w:rsid w:val="002A6195"/>
    <w:rsid w:val="002E6669"/>
    <w:rsid w:val="00302BD7"/>
    <w:rsid w:val="003455A3"/>
    <w:rsid w:val="003531C0"/>
    <w:rsid w:val="00360137"/>
    <w:rsid w:val="00361AD3"/>
    <w:rsid w:val="003836CF"/>
    <w:rsid w:val="00384ECB"/>
    <w:rsid w:val="003850E6"/>
    <w:rsid w:val="003B029F"/>
    <w:rsid w:val="003B6FA9"/>
    <w:rsid w:val="003F41D0"/>
    <w:rsid w:val="00403CC5"/>
    <w:rsid w:val="0040652B"/>
    <w:rsid w:val="00437659"/>
    <w:rsid w:val="004707A5"/>
    <w:rsid w:val="004768A7"/>
    <w:rsid w:val="00477E19"/>
    <w:rsid w:val="0048111C"/>
    <w:rsid w:val="00491657"/>
    <w:rsid w:val="004B26BB"/>
    <w:rsid w:val="004D1040"/>
    <w:rsid w:val="004D784B"/>
    <w:rsid w:val="004F0BD6"/>
    <w:rsid w:val="004F258D"/>
    <w:rsid w:val="00511FA0"/>
    <w:rsid w:val="00515DC6"/>
    <w:rsid w:val="00516AFD"/>
    <w:rsid w:val="005214DB"/>
    <w:rsid w:val="00521B0F"/>
    <w:rsid w:val="005320D4"/>
    <w:rsid w:val="00551CAD"/>
    <w:rsid w:val="00566762"/>
    <w:rsid w:val="00576758"/>
    <w:rsid w:val="005A47DE"/>
    <w:rsid w:val="005A4D41"/>
    <w:rsid w:val="005C333A"/>
    <w:rsid w:val="005C7217"/>
    <w:rsid w:val="00616193"/>
    <w:rsid w:val="006174B8"/>
    <w:rsid w:val="00620B27"/>
    <w:rsid w:val="00631D8C"/>
    <w:rsid w:val="00635015"/>
    <w:rsid w:val="00651487"/>
    <w:rsid w:val="00657C38"/>
    <w:rsid w:val="006604FC"/>
    <w:rsid w:val="00662D16"/>
    <w:rsid w:val="00671237"/>
    <w:rsid w:val="00671656"/>
    <w:rsid w:val="00697428"/>
    <w:rsid w:val="00697985"/>
    <w:rsid w:val="006D7AC5"/>
    <w:rsid w:val="00743C3F"/>
    <w:rsid w:val="007446C7"/>
    <w:rsid w:val="00780AEA"/>
    <w:rsid w:val="00780D2D"/>
    <w:rsid w:val="0079322A"/>
    <w:rsid w:val="007A2F5E"/>
    <w:rsid w:val="007D28C3"/>
    <w:rsid w:val="007D31F7"/>
    <w:rsid w:val="007E1FF5"/>
    <w:rsid w:val="007F5ADA"/>
    <w:rsid w:val="007F74B3"/>
    <w:rsid w:val="00821CFC"/>
    <w:rsid w:val="00837AE3"/>
    <w:rsid w:val="00865548"/>
    <w:rsid w:val="008E033B"/>
    <w:rsid w:val="008E44E1"/>
    <w:rsid w:val="008F3680"/>
    <w:rsid w:val="009013CA"/>
    <w:rsid w:val="0090532E"/>
    <w:rsid w:val="009237C9"/>
    <w:rsid w:val="00933855"/>
    <w:rsid w:val="00957AD8"/>
    <w:rsid w:val="00982222"/>
    <w:rsid w:val="009A2FD3"/>
    <w:rsid w:val="00A064F9"/>
    <w:rsid w:val="00A2585A"/>
    <w:rsid w:val="00A27C93"/>
    <w:rsid w:val="00A415B9"/>
    <w:rsid w:val="00A875C2"/>
    <w:rsid w:val="00A91C7F"/>
    <w:rsid w:val="00AB4B4D"/>
    <w:rsid w:val="00AD3D8B"/>
    <w:rsid w:val="00AD63AD"/>
    <w:rsid w:val="00AE5318"/>
    <w:rsid w:val="00B12589"/>
    <w:rsid w:val="00B150D2"/>
    <w:rsid w:val="00B21C90"/>
    <w:rsid w:val="00B2335E"/>
    <w:rsid w:val="00B45228"/>
    <w:rsid w:val="00B47696"/>
    <w:rsid w:val="00B56B5F"/>
    <w:rsid w:val="00B7289C"/>
    <w:rsid w:val="00B7689A"/>
    <w:rsid w:val="00B827C4"/>
    <w:rsid w:val="00B920CA"/>
    <w:rsid w:val="00BB0C44"/>
    <w:rsid w:val="00BB209F"/>
    <w:rsid w:val="00BD7BCE"/>
    <w:rsid w:val="00BE4743"/>
    <w:rsid w:val="00C30214"/>
    <w:rsid w:val="00C32335"/>
    <w:rsid w:val="00C3506E"/>
    <w:rsid w:val="00C363D0"/>
    <w:rsid w:val="00C374E1"/>
    <w:rsid w:val="00C448FF"/>
    <w:rsid w:val="00C44DD7"/>
    <w:rsid w:val="00C521E2"/>
    <w:rsid w:val="00C61ACF"/>
    <w:rsid w:val="00C77C7C"/>
    <w:rsid w:val="00C82CFF"/>
    <w:rsid w:val="00C92EBE"/>
    <w:rsid w:val="00CA0BC2"/>
    <w:rsid w:val="00CC4FDD"/>
    <w:rsid w:val="00CE341E"/>
    <w:rsid w:val="00CE7F37"/>
    <w:rsid w:val="00CF2FB7"/>
    <w:rsid w:val="00CF336A"/>
    <w:rsid w:val="00D02929"/>
    <w:rsid w:val="00D03177"/>
    <w:rsid w:val="00D16D6C"/>
    <w:rsid w:val="00D20C84"/>
    <w:rsid w:val="00D36F6B"/>
    <w:rsid w:val="00D418A2"/>
    <w:rsid w:val="00D43635"/>
    <w:rsid w:val="00D5350F"/>
    <w:rsid w:val="00D643EF"/>
    <w:rsid w:val="00D7190C"/>
    <w:rsid w:val="00D75E8F"/>
    <w:rsid w:val="00DA58EF"/>
    <w:rsid w:val="00DB3539"/>
    <w:rsid w:val="00DD2D4F"/>
    <w:rsid w:val="00E02BD3"/>
    <w:rsid w:val="00E06CB4"/>
    <w:rsid w:val="00E12AFF"/>
    <w:rsid w:val="00E12CFC"/>
    <w:rsid w:val="00E14349"/>
    <w:rsid w:val="00E24DD3"/>
    <w:rsid w:val="00E25C2A"/>
    <w:rsid w:val="00E34DE2"/>
    <w:rsid w:val="00E52C93"/>
    <w:rsid w:val="00E54EB0"/>
    <w:rsid w:val="00E852AB"/>
    <w:rsid w:val="00E91848"/>
    <w:rsid w:val="00EF7264"/>
    <w:rsid w:val="00F00658"/>
    <w:rsid w:val="00F220BE"/>
    <w:rsid w:val="00F36F07"/>
    <w:rsid w:val="00F45616"/>
    <w:rsid w:val="00F65332"/>
    <w:rsid w:val="00F857D4"/>
    <w:rsid w:val="00F92D5F"/>
    <w:rsid w:val="00FF5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869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spacing w:before="123"/>
      <w:ind w:left="110"/>
      <w:outlineLvl w:val="0"/>
    </w:pPr>
    <w:rPr>
      <w:b/>
      <w:bCs/>
      <w:sz w:val="28"/>
      <w:szCs w:val="28"/>
    </w:rPr>
  </w:style>
  <w:style w:type="paragraph" w:styleId="Naslov2">
    <w:name w:val="heading 2"/>
    <w:basedOn w:val="Normal"/>
    <w:link w:val="Naslov2Char"/>
    <w:uiPriority w:val="9"/>
    <w:unhideWhenUsed/>
    <w:qFormat/>
    <w:pPr>
      <w:spacing w:before="130"/>
      <w:ind w:left="110"/>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239" w:hanging="13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C44DD7"/>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DD7"/>
    <w:rPr>
      <w:rFonts w:ascii="Tahoma" w:eastAsia="Times New Roman" w:hAnsi="Tahoma" w:cs="Tahoma"/>
      <w:sz w:val="16"/>
      <w:szCs w:val="16"/>
      <w:lang w:val="hr-HR"/>
    </w:rPr>
  </w:style>
  <w:style w:type="character" w:customStyle="1" w:styleId="Naslov2Char">
    <w:name w:val="Naslov 2 Char"/>
    <w:basedOn w:val="Zadanifontodlomka"/>
    <w:link w:val="Naslov2"/>
    <w:uiPriority w:val="9"/>
    <w:rsid w:val="003455A3"/>
    <w:rPr>
      <w:rFonts w:ascii="Times New Roman" w:eastAsia="Times New Roman" w:hAnsi="Times New Roman" w:cs="Times New Roman"/>
      <w:b/>
      <w:bCs/>
      <w:lang w:val="hr-HR"/>
    </w:rPr>
  </w:style>
  <w:style w:type="paragraph" w:styleId="Zaglavlje">
    <w:name w:val="header"/>
    <w:basedOn w:val="Normal"/>
    <w:link w:val="ZaglavljeChar"/>
    <w:uiPriority w:val="99"/>
    <w:unhideWhenUsed/>
    <w:rsid w:val="005320D4"/>
    <w:pPr>
      <w:tabs>
        <w:tab w:val="center" w:pos="4536"/>
        <w:tab w:val="right" w:pos="9072"/>
      </w:tabs>
    </w:pPr>
  </w:style>
  <w:style w:type="character" w:customStyle="1" w:styleId="ZaglavljeChar">
    <w:name w:val="Zaglavlje Char"/>
    <w:basedOn w:val="Zadanifontodlomka"/>
    <w:link w:val="Zaglavlje"/>
    <w:uiPriority w:val="99"/>
    <w:rsid w:val="005320D4"/>
    <w:rPr>
      <w:rFonts w:ascii="Times New Roman" w:eastAsia="Times New Roman" w:hAnsi="Times New Roman" w:cs="Times New Roman"/>
      <w:lang w:val="hr-HR"/>
    </w:rPr>
  </w:style>
  <w:style w:type="paragraph" w:styleId="Podnoje">
    <w:name w:val="footer"/>
    <w:basedOn w:val="Normal"/>
    <w:link w:val="PodnojeChar"/>
    <w:uiPriority w:val="99"/>
    <w:unhideWhenUsed/>
    <w:rsid w:val="005320D4"/>
    <w:pPr>
      <w:tabs>
        <w:tab w:val="center" w:pos="4536"/>
        <w:tab w:val="right" w:pos="9072"/>
      </w:tabs>
    </w:pPr>
  </w:style>
  <w:style w:type="character" w:customStyle="1" w:styleId="PodnojeChar">
    <w:name w:val="Podnožje Char"/>
    <w:basedOn w:val="Zadanifontodlomka"/>
    <w:link w:val="Podnoje"/>
    <w:uiPriority w:val="99"/>
    <w:rsid w:val="005320D4"/>
    <w:rPr>
      <w:rFonts w:ascii="Times New Roman" w:eastAsia="Times New Roman" w:hAnsi="Times New Roman" w:cs="Times New Roman"/>
      <w:lang w:val="hr-HR"/>
    </w:rPr>
  </w:style>
  <w:style w:type="table" w:styleId="Reetkatablice">
    <w:name w:val="Table Grid"/>
    <w:basedOn w:val="Obinatablica"/>
    <w:uiPriority w:val="39"/>
    <w:rsid w:val="00E0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spacing w:before="123"/>
      <w:ind w:left="110"/>
      <w:outlineLvl w:val="0"/>
    </w:pPr>
    <w:rPr>
      <w:b/>
      <w:bCs/>
      <w:sz w:val="28"/>
      <w:szCs w:val="28"/>
    </w:rPr>
  </w:style>
  <w:style w:type="paragraph" w:styleId="Naslov2">
    <w:name w:val="heading 2"/>
    <w:basedOn w:val="Normal"/>
    <w:link w:val="Naslov2Char"/>
    <w:uiPriority w:val="9"/>
    <w:unhideWhenUsed/>
    <w:qFormat/>
    <w:pPr>
      <w:spacing w:before="130"/>
      <w:ind w:left="110"/>
      <w:outlineLvl w:val="1"/>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239" w:hanging="13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C44DD7"/>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DD7"/>
    <w:rPr>
      <w:rFonts w:ascii="Tahoma" w:eastAsia="Times New Roman" w:hAnsi="Tahoma" w:cs="Tahoma"/>
      <w:sz w:val="16"/>
      <w:szCs w:val="16"/>
      <w:lang w:val="hr-HR"/>
    </w:rPr>
  </w:style>
  <w:style w:type="character" w:customStyle="1" w:styleId="Naslov2Char">
    <w:name w:val="Naslov 2 Char"/>
    <w:basedOn w:val="Zadanifontodlomka"/>
    <w:link w:val="Naslov2"/>
    <w:uiPriority w:val="9"/>
    <w:rsid w:val="003455A3"/>
    <w:rPr>
      <w:rFonts w:ascii="Times New Roman" w:eastAsia="Times New Roman" w:hAnsi="Times New Roman" w:cs="Times New Roman"/>
      <w:b/>
      <w:bCs/>
      <w:lang w:val="hr-HR"/>
    </w:rPr>
  </w:style>
  <w:style w:type="paragraph" w:styleId="Zaglavlje">
    <w:name w:val="header"/>
    <w:basedOn w:val="Normal"/>
    <w:link w:val="ZaglavljeChar"/>
    <w:uiPriority w:val="99"/>
    <w:unhideWhenUsed/>
    <w:rsid w:val="005320D4"/>
    <w:pPr>
      <w:tabs>
        <w:tab w:val="center" w:pos="4536"/>
        <w:tab w:val="right" w:pos="9072"/>
      </w:tabs>
    </w:pPr>
  </w:style>
  <w:style w:type="character" w:customStyle="1" w:styleId="ZaglavljeChar">
    <w:name w:val="Zaglavlje Char"/>
    <w:basedOn w:val="Zadanifontodlomka"/>
    <w:link w:val="Zaglavlje"/>
    <w:uiPriority w:val="99"/>
    <w:rsid w:val="005320D4"/>
    <w:rPr>
      <w:rFonts w:ascii="Times New Roman" w:eastAsia="Times New Roman" w:hAnsi="Times New Roman" w:cs="Times New Roman"/>
      <w:lang w:val="hr-HR"/>
    </w:rPr>
  </w:style>
  <w:style w:type="paragraph" w:styleId="Podnoje">
    <w:name w:val="footer"/>
    <w:basedOn w:val="Normal"/>
    <w:link w:val="PodnojeChar"/>
    <w:uiPriority w:val="99"/>
    <w:unhideWhenUsed/>
    <w:rsid w:val="005320D4"/>
    <w:pPr>
      <w:tabs>
        <w:tab w:val="center" w:pos="4536"/>
        <w:tab w:val="right" w:pos="9072"/>
      </w:tabs>
    </w:pPr>
  </w:style>
  <w:style w:type="character" w:customStyle="1" w:styleId="PodnojeChar">
    <w:name w:val="Podnožje Char"/>
    <w:basedOn w:val="Zadanifontodlomka"/>
    <w:link w:val="Podnoje"/>
    <w:uiPriority w:val="99"/>
    <w:rsid w:val="005320D4"/>
    <w:rPr>
      <w:rFonts w:ascii="Times New Roman" w:eastAsia="Times New Roman" w:hAnsi="Times New Roman" w:cs="Times New Roman"/>
      <w:lang w:val="hr-HR"/>
    </w:rPr>
  </w:style>
  <w:style w:type="table" w:styleId="Reetkatablice">
    <w:name w:val="Table Grid"/>
    <w:basedOn w:val="Obinatablica"/>
    <w:uiPriority w:val="39"/>
    <w:rsid w:val="00E06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969">
      <w:bodyDiv w:val="1"/>
      <w:marLeft w:val="0"/>
      <w:marRight w:val="0"/>
      <w:marTop w:val="0"/>
      <w:marBottom w:val="0"/>
      <w:divBdr>
        <w:top w:val="none" w:sz="0" w:space="0" w:color="auto"/>
        <w:left w:val="none" w:sz="0" w:space="0" w:color="auto"/>
        <w:bottom w:val="none" w:sz="0" w:space="0" w:color="auto"/>
        <w:right w:val="none" w:sz="0" w:space="0" w:color="auto"/>
      </w:divBdr>
    </w:div>
    <w:div w:id="387534916">
      <w:bodyDiv w:val="1"/>
      <w:marLeft w:val="0"/>
      <w:marRight w:val="0"/>
      <w:marTop w:val="0"/>
      <w:marBottom w:val="0"/>
      <w:divBdr>
        <w:top w:val="none" w:sz="0" w:space="0" w:color="auto"/>
        <w:left w:val="none" w:sz="0" w:space="0" w:color="auto"/>
        <w:bottom w:val="none" w:sz="0" w:space="0" w:color="auto"/>
        <w:right w:val="none" w:sz="0" w:space="0" w:color="auto"/>
      </w:divBdr>
    </w:div>
    <w:div w:id="450318002">
      <w:bodyDiv w:val="1"/>
      <w:marLeft w:val="0"/>
      <w:marRight w:val="0"/>
      <w:marTop w:val="0"/>
      <w:marBottom w:val="0"/>
      <w:divBdr>
        <w:top w:val="none" w:sz="0" w:space="0" w:color="auto"/>
        <w:left w:val="none" w:sz="0" w:space="0" w:color="auto"/>
        <w:bottom w:val="none" w:sz="0" w:space="0" w:color="auto"/>
        <w:right w:val="none" w:sz="0" w:space="0" w:color="auto"/>
      </w:divBdr>
    </w:div>
    <w:div w:id="466238440">
      <w:bodyDiv w:val="1"/>
      <w:marLeft w:val="0"/>
      <w:marRight w:val="0"/>
      <w:marTop w:val="0"/>
      <w:marBottom w:val="0"/>
      <w:divBdr>
        <w:top w:val="none" w:sz="0" w:space="0" w:color="auto"/>
        <w:left w:val="none" w:sz="0" w:space="0" w:color="auto"/>
        <w:bottom w:val="none" w:sz="0" w:space="0" w:color="auto"/>
        <w:right w:val="none" w:sz="0" w:space="0" w:color="auto"/>
      </w:divBdr>
    </w:div>
    <w:div w:id="480195883">
      <w:bodyDiv w:val="1"/>
      <w:marLeft w:val="0"/>
      <w:marRight w:val="0"/>
      <w:marTop w:val="0"/>
      <w:marBottom w:val="0"/>
      <w:divBdr>
        <w:top w:val="none" w:sz="0" w:space="0" w:color="auto"/>
        <w:left w:val="none" w:sz="0" w:space="0" w:color="auto"/>
        <w:bottom w:val="none" w:sz="0" w:space="0" w:color="auto"/>
        <w:right w:val="none" w:sz="0" w:space="0" w:color="auto"/>
      </w:divBdr>
    </w:div>
    <w:div w:id="569391631">
      <w:bodyDiv w:val="1"/>
      <w:marLeft w:val="0"/>
      <w:marRight w:val="0"/>
      <w:marTop w:val="0"/>
      <w:marBottom w:val="0"/>
      <w:divBdr>
        <w:top w:val="none" w:sz="0" w:space="0" w:color="auto"/>
        <w:left w:val="none" w:sz="0" w:space="0" w:color="auto"/>
        <w:bottom w:val="none" w:sz="0" w:space="0" w:color="auto"/>
        <w:right w:val="none" w:sz="0" w:space="0" w:color="auto"/>
      </w:divBdr>
    </w:div>
    <w:div w:id="616986081">
      <w:bodyDiv w:val="1"/>
      <w:marLeft w:val="0"/>
      <w:marRight w:val="0"/>
      <w:marTop w:val="0"/>
      <w:marBottom w:val="0"/>
      <w:divBdr>
        <w:top w:val="none" w:sz="0" w:space="0" w:color="auto"/>
        <w:left w:val="none" w:sz="0" w:space="0" w:color="auto"/>
        <w:bottom w:val="none" w:sz="0" w:space="0" w:color="auto"/>
        <w:right w:val="none" w:sz="0" w:space="0" w:color="auto"/>
      </w:divBdr>
    </w:div>
    <w:div w:id="627010763">
      <w:bodyDiv w:val="1"/>
      <w:marLeft w:val="0"/>
      <w:marRight w:val="0"/>
      <w:marTop w:val="0"/>
      <w:marBottom w:val="0"/>
      <w:divBdr>
        <w:top w:val="none" w:sz="0" w:space="0" w:color="auto"/>
        <w:left w:val="none" w:sz="0" w:space="0" w:color="auto"/>
        <w:bottom w:val="none" w:sz="0" w:space="0" w:color="auto"/>
        <w:right w:val="none" w:sz="0" w:space="0" w:color="auto"/>
      </w:divBdr>
    </w:div>
    <w:div w:id="642470124">
      <w:bodyDiv w:val="1"/>
      <w:marLeft w:val="0"/>
      <w:marRight w:val="0"/>
      <w:marTop w:val="0"/>
      <w:marBottom w:val="0"/>
      <w:divBdr>
        <w:top w:val="none" w:sz="0" w:space="0" w:color="auto"/>
        <w:left w:val="none" w:sz="0" w:space="0" w:color="auto"/>
        <w:bottom w:val="none" w:sz="0" w:space="0" w:color="auto"/>
        <w:right w:val="none" w:sz="0" w:space="0" w:color="auto"/>
      </w:divBdr>
    </w:div>
    <w:div w:id="651526034">
      <w:bodyDiv w:val="1"/>
      <w:marLeft w:val="0"/>
      <w:marRight w:val="0"/>
      <w:marTop w:val="0"/>
      <w:marBottom w:val="0"/>
      <w:divBdr>
        <w:top w:val="none" w:sz="0" w:space="0" w:color="auto"/>
        <w:left w:val="none" w:sz="0" w:space="0" w:color="auto"/>
        <w:bottom w:val="none" w:sz="0" w:space="0" w:color="auto"/>
        <w:right w:val="none" w:sz="0" w:space="0" w:color="auto"/>
      </w:divBdr>
    </w:div>
    <w:div w:id="788472545">
      <w:bodyDiv w:val="1"/>
      <w:marLeft w:val="0"/>
      <w:marRight w:val="0"/>
      <w:marTop w:val="0"/>
      <w:marBottom w:val="0"/>
      <w:divBdr>
        <w:top w:val="none" w:sz="0" w:space="0" w:color="auto"/>
        <w:left w:val="none" w:sz="0" w:space="0" w:color="auto"/>
        <w:bottom w:val="none" w:sz="0" w:space="0" w:color="auto"/>
        <w:right w:val="none" w:sz="0" w:space="0" w:color="auto"/>
      </w:divBdr>
    </w:div>
    <w:div w:id="797146602">
      <w:bodyDiv w:val="1"/>
      <w:marLeft w:val="0"/>
      <w:marRight w:val="0"/>
      <w:marTop w:val="0"/>
      <w:marBottom w:val="0"/>
      <w:divBdr>
        <w:top w:val="none" w:sz="0" w:space="0" w:color="auto"/>
        <w:left w:val="none" w:sz="0" w:space="0" w:color="auto"/>
        <w:bottom w:val="none" w:sz="0" w:space="0" w:color="auto"/>
        <w:right w:val="none" w:sz="0" w:space="0" w:color="auto"/>
      </w:divBdr>
    </w:div>
    <w:div w:id="1040588699">
      <w:bodyDiv w:val="1"/>
      <w:marLeft w:val="0"/>
      <w:marRight w:val="0"/>
      <w:marTop w:val="0"/>
      <w:marBottom w:val="0"/>
      <w:divBdr>
        <w:top w:val="none" w:sz="0" w:space="0" w:color="auto"/>
        <w:left w:val="none" w:sz="0" w:space="0" w:color="auto"/>
        <w:bottom w:val="none" w:sz="0" w:space="0" w:color="auto"/>
        <w:right w:val="none" w:sz="0" w:space="0" w:color="auto"/>
      </w:divBdr>
    </w:div>
    <w:div w:id="1243953783">
      <w:bodyDiv w:val="1"/>
      <w:marLeft w:val="0"/>
      <w:marRight w:val="0"/>
      <w:marTop w:val="0"/>
      <w:marBottom w:val="0"/>
      <w:divBdr>
        <w:top w:val="none" w:sz="0" w:space="0" w:color="auto"/>
        <w:left w:val="none" w:sz="0" w:space="0" w:color="auto"/>
        <w:bottom w:val="none" w:sz="0" w:space="0" w:color="auto"/>
        <w:right w:val="none" w:sz="0" w:space="0" w:color="auto"/>
      </w:divBdr>
    </w:div>
    <w:div w:id="1260403932">
      <w:bodyDiv w:val="1"/>
      <w:marLeft w:val="0"/>
      <w:marRight w:val="0"/>
      <w:marTop w:val="0"/>
      <w:marBottom w:val="0"/>
      <w:divBdr>
        <w:top w:val="none" w:sz="0" w:space="0" w:color="auto"/>
        <w:left w:val="none" w:sz="0" w:space="0" w:color="auto"/>
        <w:bottom w:val="none" w:sz="0" w:space="0" w:color="auto"/>
        <w:right w:val="none" w:sz="0" w:space="0" w:color="auto"/>
      </w:divBdr>
    </w:div>
    <w:div w:id="1313827338">
      <w:bodyDiv w:val="1"/>
      <w:marLeft w:val="0"/>
      <w:marRight w:val="0"/>
      <w:marTop w:val="0"/>
      <w:marBottom w:val="0"/>
      <w:divBdr>
        <w:top w:val="none" w:sz="0" w:space="0" w:color="auto"/>
        <w:left w:val="none" w:sz="0" w:space="0" w:color="auto"/>
        <w:bottom w:val="none" w:sz="0" w:space="0" w:color="auto"/>
        <w:right w:val="none" w:sz="0" w:space="0" w:color="auto"/>
      </w:divBdr>
    </w:div>
    <w:div w:id="1329865968">
      <w:bodyDiv w:val="1"/>
      <w:marLeft w:val="0"/>
      <w:marRight w:val="0"/>
      <w:marTop w:val="0"/>
      <w:marBottom w:val="0"/>
      <w:divBdr>
        <w:top w:val="none" w:sz="0" w:space="0" w:color="auto"/>
        <w:left w:val="none" w:sz="0" w:space="0" w:color="auto"/>
        <w:bottom w:val="none" w:sz="0" w:space="0" w:color="auto"/>
        <w:right w:val="none" w:sz="0" w:space="0" w:color="auto"/>
      </w:divBdr>
    </w:div>
    <w:div w:id="1525821578">
      <w:bodyDiv w:val="1"/>
      <w:marLeft w:val="0"/>
      <w:marRight w:val="0"/>
      <w:marTop w:val="0"/>
      <w:marBottom w:val="0"/>
      <w:divBdr>
        <w:top w:val="none" w:sz="0" w:space="0" w:color="auto"/>
        <w:left w:val="none" w:sz="0" w:space="0" w:color="auto"/>
        <w:bottom w:val="none" w:sz="0" w:space="0" w:color="auto"/>
        <w:right w:val="none" w:sz="0" w:space="0" w:color="auto"/>
      </w:divBdr>
    </w:div>
    <w:div w:id="1623153271">
      <w:bodyDiv w:val="1"/>
      <w:marLeft w:val="0"/>
      <w:marRight w:val="0"/>
      <w:marTop w:val="0"/>
      <w:marBottom w:val="0"/>
      <w:divBdr>
        <w:top w:val="none" w:sz="0" w:space="0" w:color="auto"/>
        <w:left w:val="none" w:sz="0" w:space="0" w:color="auto"/>
        <w:bottom w:val="none" w:sz="0" w:space="0" w:color="auto"/>
        <w:right w:val="none" w:sz="0" w:space="0" w:color="auto"/>
      </w:divBdr>
    </w:div>
    <w:div w:id="1832526943">
      <w:bodyDiv w:val="1"/>
      <w:marLeft w:val="0"/>
      <w:marRight w:val="0"/>
      <w:marTop w:val="0"/>
      <w:marBottom w:val="0"/>
      <w:divBdr>
        <w:top w:val="none" w:sz="0" w:space="0" w:color="auto"/>
        <w:left w:val="none" w:sz="0" w:space="0" w:color="auto"/>
        <w:bottom w:val="none" w:sz="0" w:space="0" w:color="auto"/>
        <w:right w:val="none" w:sz="0" w:space="0" w:color="auto"/>
      </w:divBdr>
    </w:div>
    <w:div w:id="1966423527">
      <w:bodyDiv w:val="1"/>
      <w:marLeft w:val="0"/>
      <w:marRight w:val="0"/>
      <w:marTop w:val="0"/>
      <w:marBottom w:val="0"/>
      <w:divBdr>
        <w:top w:val="none" w:sz="0" w:space="0" w:color="auto"/>
        <w:left w:val="none" w:sz="0" w:space="0" w:color="auto"/>
        <w:bottom w:val="none" w:sz="0" w:space="0" w:color="auto"/>
        <w:right w:val="none" w:sz="0" w:space="0" w:color="auto"/>
      </w:divBdr>
    </w:div>
    <w:div w:id="210726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Ukupni rashodi za usluge 3231-3239</c:v>
                </c:pt>
              </c:strCache>
            </c:strRef>
          </c:tx>
          <c:invertIfNegative val="0"/>
          <c:cat>
            <c:strRef>
              <c:f>List1!$A$2:$A$4</c:f>
              <c:strCache>
                <c:ptCount val="3"/>
                <c:pt idx="0">
                  <c:v>Izvorni plan/rebalans 2023.</c:v>
                </c:pt>
                <c:pt idx="1">
                  <c:v>Tekući plan 2023.</c:v>
                </c:pt>
                <c:pt idx="2">
                  <c:v>Izvršenje 2023.</c:v>
                </c:pt>
              </c:strCache>
            </c:strRef>
          </c:cat>
          <c:val>
            <c:numRef>
              <c:f>List1!$B$2:$B$4</c:f>
              <c:numCache>
                <c:formatCode>#,##0.00\ [$EUR]</c:formatCode>
                <c:ptCount val="3"/>
                <c:pt idx="0">
                  <c:v>147839</c:v>
                </c:pt>
                <c:pt idx="1">
                  <c:v>151989</c:v>
                </c:pt>
                <c:pt idx="2">
                  <c:v>151988.67000000001</c:v>
                </c:pt>
              </c:numCache>
            </c:numRef>
          </c:val>
        </c:ser>
        <c:ser>
          <c:idx val="1"/>
          <c:order val="1"/>
          <c:tx>
            <c:strRef>
              <c:f>List1!$C$1</c:f>
              <c:strCache>
                <c:ptCount val="1"/>
                <c:pt idx="0">
                  <c:v>Intelektualne usluge 3237</c:v>
                </c:pt>
              </c:strCache>
            </c:strRef>
          </c:tx>
          <c:invertIfNegative val="0"/>
          <c:cat>
            <c:strRef>
              <c:f>List1!$A$2:$A$4</c:f>
              <c:strCache>
                <c:ptCount val="3"/>
                <c:pt idx="0">
                  <c:v>Izvorni plan/rebalans 2023.</c:v>
                </c:pt>
                <c:pt idx="1">
                  <c:v>Tekući plan 2023.</c:v>
                </c:pt>
                <c:pt idx="2">
                  <c:v>Izvršenje 2023.</c:v>
                </c:pt>
              </c:strCache>
            </c:strRef>
          </c:cat>
          <c:val>
            <c:numRef>
              <c:f>List1!$C$2:$C$4</c:f>
              <c:numCache>
                <c:formatCode>#,##0.00\ [$EUR]</c:formatCode>
                <c:ptCount val="3"/>
                <c:pt idx="0">
                  <c:v>73627</c:v>
                </c:pt>
                <c:pt idx="1">
                  <c:v>78143</c:v>
                </c:pt>
                <c:pt idx="2">
                  <c:v>78142.789999999994</c:v>
                </c:pt>
              </c:numCache>
            </c:numRef>
          </c:val>
        </c:ser>
        <c:dLbls>
          <c:showLegendKey val="0"/>
          <c:showVal val="0"/>
          <c:showCatName val="0"/>
          <c:showSerName val="0"/>
          <c:showPercent val="0"/>
          <c:showBubbleSize val="0"/>
        </c:dLbls>
        <c:gapWidth val="150"/>
        <c:axId val="264876800"/>
        <c:axId val="264878336"/>
      </c:barChart>
      <c:catAx>
        <c:axId val="264876800"/>
        <c:scaling>
          <c:orientation val="minMax"/>
        </c:scaling>
        <c:delete val="0"/>
        <c:axPos val="b"/>
        <c:majorTickMark val="out"/>
        <c:minorTickMark val="none"/>
        <c:tickLblPos val="nextTo"/>
        <c:crossAx val="264878336"/>
        <c:crosses val="autoZero"/>
        <c:auto val="1"/>
        <c:lblAlgn val="ctr"/>
        <c:lblOffset val="100"/>
        <c:noMultiLvlLbl val="0"/>
      </c:catAx>
      <c:valAx>
        <c:axId val="264878336"/>
        <c:scaling>
          <c:orientation val="minMax"/>
        </c:scaling>
        <c:delete val="0"/>
        <c:axPos val="l"/>
        <c:majorGridlines/>
        <c:numFmt formatCode="#,##0.00\ [$EUR]" sourceLinked="1"/>
        <c:majorTickMark val="out"/>
        <c:minorTickMark val="none"/>
        <c:tickLblPos val="nextTo"/>
        <c:crossAx val="2648768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763</Words>
  <Characters>4350</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Marasovi</dc:creator>
  <cp:lastModifiedBy>Tajana Briševac</cp:lastModifiedBy>
  <cp:revision>39</cp:revision>
  <cp:lastPrinted>2023-07-28T10:01:00Z</cp:lastPrinted>
  <dcterms:created xsi:type="dcterms:W3CDTF">2023-07-27T11:33:00Z</dcterms:created>
  <dcterms:modified xsi:type="dcterms:W3CDTF">2024-03-28T10:59:00Z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LastSaved">
    <vt:filetime>2022-12-16T00:00:00Z</vt:filetime>
  </property>
</Properties>
</file>