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1146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ŽUPANIJSKO DRŽAVNO ODVJETNIŠTVO U VUKOVARU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2021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417"/>
              <w:gridCol w:w="1417"/>
              <w:gridCol w:w="1822"/>
              <w:gridCol w:w="1417"/>
              <w:gridCol w:w="892"/>
              <w:gridCol w:w="997"/>
              <w:gridCol w:w="96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Obvezno osiguranje od automobileske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66514110-0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Obvezno osiguranje od automobileske odgovornosti i kasko osiguranje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66514110-0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1.326,00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28.800,00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Gorivo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09100000-0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64111000-7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usluge u unutarnjem i međunarodnom prometu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64111000-7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18.240,00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 godine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Nije primjenjivo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Usluge ispisa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72514000-1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9.600,00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DA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IV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5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19.01.2021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20.01.2021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Postupak provodi Središnji državni ured za središnju javnu nabavu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strike/>
                      <w:color w:val="000000"/>
                      <w:sz w:val="14"/>
                    </w:rPr>
                    <w:t xml:space="preserve">Obrisana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146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20.01.2021 10:11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5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19.01.2021 11:20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20803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1113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53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