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D" w:rsidRDefault="0035180D" w:rsidP="001B7FE0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 xml:space="preserve">     </w:t>
      </w:r>
    </w:p>
    <w:p w:rsidR="009C0D26" w:rsidRDefault="0035180D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         </w:t>
      </w:r>
      <w:r w:rsidR="009C0D26" w:rsidRPr="009C0D26">
        <w:rPr>
          <w:rFonts w:ascii="Arial" w:eastAsia="Calibri" w:hAnsi="Arial" w:cs="Arial"/>
          <w:b/>
          <w:sz w:val="24"/>
        </w:rPr>
        <w:t xml:space="preserve">                               </w:t>
      </w:r>
      <w:r w:rsidR="00A929CB">
        <w:rPr>
          <w:rFonts w:ascii="Arial" w:eastAsia="Calibri" w:hAnsi="Arial" w:cs="Arial"/>
          <w:b/>
          <w:noProof/>
          <w:sz w:val="24"/>
        </w:rPr>
        <w:drawing>
          <wp:inline distT="0" distB="0" distL="0" distR="0" wp14:anchorId="2E700646" wp14:editId="1AAD89FE">
            <wp:extent cx="397510" cy="508635"/>
            <wp:effectExtent l="0" t="0" r="2540" b="5715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D26" w:rsidRPr="009C0D26">
        <w:rPr>
          <w:rFonts w:ascii="Arial" w:eastAsia="Calibri" w:hAnsi="Arial" w:cs="Arial"/>
          <w:b/>
          <w:sz w:val="24"/>
        </w:rPr>
        <w:tab/>
      </w:r>
    </w:p>
    <w:p w:rsidR="001F37DC" w:rsidRPr="009C0D26" w:rsidRDefault="001F37DC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</w:p>
    <w:p w:rsidR="009C0D26" w:rsidRPr="009C0D26" w:rsidRDefault="009C0D26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sz w:val="24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     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REPUBLIKA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HRVATSKA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>OPĆINSKO DRŽAVNO ODVJETNIŠTVO U ČAKOVCU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Čakovec, Ulica kralja Tomislava 12</w:t>
      </w:r>
    </w:p>
    <w:p w:rsidR="009C0D26" w:rsidRDefault="009C0D2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35180D" w:rsidRPr="009C0D26" w:rsidRDefault="006522C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z w:val="24"/>
          <w:szCs w:val="24"/>
        </w:rPr>
        <w:t>B</w:t>
      </w:r>
      <w:r w:rsidR="003A47AC" w:rsidRPr="009C0D26">
        <w:rPr>
          <w:rFonts w:ascii="Arial" w:hAnsi="Arial" w:cs="Arial"/>
          <w:sz w:val="24"/>
          <w:szCs w:val="24"/>
        </w:rPr>
        <w:t>roj</w:t>
      </w:r>
      <w:r w:rsidR="00D767A5">
        <w:rPr>
          <w:rFonts w:ascii="Arial" w:hAnsi="Arial" w:cs="Arial"/>
          <w:sz w:val="24"/>
          <w:szCs w:val="24"/>
        </w:rPr>
        <w:t xml:space="preserve">: </w:t>
      </w:r>
      <w:r w:rsidR="00C82DD4">
        <w:rPr>
          <w:rFonts w:ascii="Arial" w:hAnsi="Arial" w:cs="Arial"/>
          <w:sz w:val="24"/>
          <w:szCs w:val="24"/>
        </w:rPr>
        <w:t>A</w:t>
      </w:r>
      <w:r w:rsidR="00D767A5">
        <w:rPr>
          <w:rFonts w:ascii="Arial" w:hAnsi="Arial" w:cs="Arial"/>
          <w:sz w:val="24"/>
          <w:szCs w:val="24"/>
        </w:rPr>
        <w:t>-</w:t>
      </w:r>
      <w:r w:rsidR="00C82DD4">
        <w:rPr>
          <w:rFonts w:ascii="Arial" w:hAnsi="Arial" w:cs="Arial"/>
          <w:sz w:val="24"/>
          <w:szCs w:val="24"/>
        </w:rPr>
        <w:t>67</w:t>
      </w:r>
      <w:r w:rsidR="006D5052">
        <w:rPr>
          <w:rFonts w:ascii="Arial" w:hAnsi="Arial" w:cs="Arial"/>
          <w:sz w:val="24"/>
          <w:szCs w:val="24"/>
        </w:rPr>
        <w:t>/2022</w:t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</w:p>
    <w:p w:rsidR="00E91159" w:rsidRDefault="003A47AC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Čakovec</w:t>
      </w:r>
      <w:r w:rsidR="00E91159" w:rsidRPr="009C0D26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="006522C6"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C5641">
        <w:rPr>
          <w:rFonts w:ascii="Arial" w:hAnsi="Arial" w:cs="Arial"/>
          <w:snapToGrid w:val="0"/>
          <w:sz w:val="24"/>
          <w:szCs w:val="24"/>
          <w:lang w:eastAsia="en-US"/>
        </w:rPr>
        <w:t>20</w:t>
      </w:r>
      <w:bookmarkStart w:id="0" w:name="_GoBack"/>
      <w:bookmarkEnd w:id="0"/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. 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lipnja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 2022.</w:t>
      </w:r>
    </w:p>
    <w:p w:rsidR="004A6861" w:rsidRDefault="00E46D18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MJT/IPN</w:t>
      </w:r>
    </w:p>
    <w:p w:rsidR="0035180D" w:rsidRPr="009C0D26" w:rsidRDefault="0035180D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</w:p>
    <w:p w:rsidR="0035180D" w:rsidRPr="009C0D26" w:rsidRDefault="006A46DF" w:rsidP="003A0DC6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Na temelju čl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anka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 xml:space="preserve">53. stavak 1. i članka </w:t>
      </w:r>
      <w:r w:rsidR="00C93C97">
        <w:rPr>
          <w:rFonts w:ascii="Arial" w:hAnsi="Arial" w:cs="Arial"/>
          <w:snapToGrid w:val="0"/>
          <w:sz w:val="24"/>
          <w:szCs w:val="24"/>
          <w:lang w:eastAsia="en-US"/>
        </w:rPr>
        <w:t>54.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Zakona o državnom odvjetništvu 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>(Narodne novine, broj 67/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>18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>, 21/22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 xml:space="preserve"> i članka 21. Zakona o zaštiti prijavitelja nepravilnosti- dalje u tekstu Zakona (Narodne novine, broj 46/22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općinska državna odvjetnica, donosi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</w:p>
    <w:p w:rsidR="004A6861" w:rsidRPr="009C0D26" w:rsidRDefault="004A6861" w:rsidP="003A0DC6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35180D" w:rsidRPr="009C0D26" w:rsidRDefault="0035180D" w:rsidP="003A0DC6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35180D" w:rsidRPr="00E46D18" w:rsidRDefault="0035180D" w:rsidP="003A0DC6">
      <w:pPr>
        <w:pStyle w:val="Naslov2"/>
        <w:rPr>
          <w:rFonts w:ascii="Arial" w:hAnsi="Arial" w:cs="Arial"/>
          <w:sz w:val="24"/>
          <w:szCs w:val="24"/>
        </w:rPr>
      </w:pPr>
      <w:r w:rsidRPr="009C0D26">
        <w:rPr>
          <w:rFonts w:ascii="Arial" w:hAnsi="Arial" w:cs="Arial"/>
          <w:sz w:val="24"/>
          <w:szCs w:val="24"/>
        </w:rPr>
        <w:t>P R A V I L N I K</w:t>
      </w:r>
    </w:p>
    <w:p w:rsidR="00301C98" w:rsidRDefault="00DA26B7" w:rsidP="003A0DC6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O POSTUPKU UNUTARNJEG PRIJAVLJIVANJA NEPRAVILNOSTI</w:t>
      </w:r>
    </w:p>
    <w:p w:rsidR="009A463D" w:rsidRPr="009C0D26" w:rsidRDefault="00DA26B7" w:rsidP="00301C98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 I</w:t>
      </w:r>
      <w:r w:rsidR="00301C98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IM</w:t>
      </w:r>
      <w:r w:rsidR="00301C98">
        <w:rPr>
          <w:rFonts w:ascii="Arial" w:hAnsi="Arial" w:cs="Arial"/>
          <w:b/>
          <w:snapToGrid w:val="0"/>
          <w:sz w:val="24"/>
          <w:szCs w:val="24"/>
          <w:lang w:eastAsia="en-US"/>
        </w:rPr>
        <w:t>ENOVANJA POVJER</w:t>
      </w: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LJIVE OSOBE</w:t>
      </w:r>
    </w:p>
    <w:p w:rsidR="0035180D" w:rsidRDefault="0035180D" w:rsidP="003A0DC6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U </w:t>
      </w:r>
      <w:r w:rsidR="00D70A31"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>OPĆIN</w:t>
      </w:r>
      <w:r w:rsidR="00C26965"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SKOM </w:t>
      </w:r>
      <w:r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DRŽAVNOM ODVJETNIŠTVU </w:t>
      </w:r>
      <w:r w:rsidR="00C26965"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U </w:t>
      </w:r>
      <w:r w:rsidR="009A463D"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>ČAKOVC</w:t>
      </w:r>
      <w:r w:rsidR="006E6AD0" w:rsidRPr="009C0D26">
        <w:rPr>
          <w:rFonts w:ascii="Arial" w:hAnsi="Arial" w:cs="Arial"/>
          <w:b/>
          <w:snapToGrid w:val="0"/>
          <w:sz w:val="24"/>
          <w:szCs w:val="24"/>
          <w:lang w:eastAsia="en-US"/>
        </w:rPr>
        <w:t>U</w:t>
      </w:r>
    </w:p>
    <w:p w:rsidR="00E46D18" w:rsidRDefault="00E46D18" w:rsidP="00DA26B7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4A6861" w:rsidRDefault="004A6861" w:rsidP="00DA26B7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DA26B7" w:rsidRPr="009C0D26" w:rsidRDefault="00DA26B7" w:rsidP="00DA26B7">
      <w:pPr>
        <w:widowControl w:val="0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Sadržaj Pravilnika</w:t>
      </w:r>
    </w:p>
    <w:p w:rsidR="00A90EF3" w:rsidRPr="009C0D26" w:rsidRDefault="00A90EF3" w:rsidP="003A0DC6">
      <w:pPr>
        <w:widowControl w:val="0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5180D" w:rsidRDefault="0035180D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  <w:r w:rsidRPr="009C0D26">
        <w:rPr>
          <w:rFonts w:ascii="Arial" w:hAnsi="Arial" w:cs="Arial"/>
          <w:i w:val="0"/>
          <w:szCs w:val="24"/>
        </w:rPr>
        <w:t>Članak 1.</w:t>
      </w:r>
    </w:p>
    <w:p w:rsidR="00AB08A7" w:rsidRDefault="00AB08A7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DA26B7" w:rsidRDefault="00DA26B7" w:rsidP="00AB08A7">
      <w:pPr>
        <w:pStyle w:val="Tijeloteksta"/>
        <w:numPr>
          <w:ilvl w:val="0"/>
          <w:numId w:val="1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Ovim Pravilnikom uređuje se postupak unutarnje</w:t>
      </w:r>
      <w:r w:rsidR="00AB08A7">
        <w:rPr>
          <w:rFonts w:ascii="Arial" w:hAnsi="Arial" w:cs="Arial"/>
          <w:i w:val="0"/>
          <w:szCs w:val="24"/>
        </w:rPr>
        <w:t xml:space="preserve">g prijavljivanja nepravilnosti, </w:t>
      </w:r>
      <w:r>
        <w:rPr>
          <w:rFonts w:ascii="Arial" w:hAnsi="Arial" w:cs="Arial"/>
          <w:i w:val="0"/>
          <w:szCs w:val="24"/>
        </w:rPr>
        <w:t>prijavljivanje nepravilnosti u Općinskom državnom odvjetništvu u Čakovcu, te imenovanja povjerljive osobe za unutarnje prijavljivanje nepravilnosti (u nastavku teksta: povjerljiva osoba).</w:t>
      </w:r>
    </w:p>
    <w:p w:rsidR="00AB08A7" w:rsidRDefault="00AB08A7" w:rsidP="00AB08A7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DA26B7" w:rsidRDefault="00DA26B7" w:rsidP="00AB08A7">
      <w:pPr>
        <w:pStyle w:val="Tijeloteksta"/>
        <w:numPr>
          <w:ilvl w:val="0"/>
          <w:numId w:val="1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Tumačenja svih spornih pitanja vezanih uz primjenu ovoga Pravilnika trebaju se temeljiti na cilju Zakona o zaštiti prijavitelja nepravilnosti, a to je učinkovita zaštita prijavitelja nepravilnosti, koja uključuje i osiguravanje dostupnih i pouzdanih načina prijavljivanja nepravilnosti.</w:t>
      </w:r>
    </w:p>
    <w:p w:rsidR="00AB08A7" w:rsidRDefault="00AB08A7" w:rsidP="00AB08A7">
      <w:pPr>
        <w:pStyle w:val="Odlomakpopisa"/>
        <w:rPr>
          <w:rFonts w:ascii="Arial" w:hAnsi="Arial" w:cs="Arial"/>
          <w:i/>
          <w:szCs w:val="24"/>
        </w:rPr>
      </w:pPr>
    </w:p>
    <w:p w:rsidR="00AB08A7" w:rsidRDefault="00AB08A7" w:rsidP="00AB08A7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DA26B7" w:rsidRPr="009C0D26" w:rsidRDefault="00DA26B7" w:rsidP="00AB08A7">
      <w:pPr>
        <w:pStyle w:val="Tijeloteksta"/>
        <w:numPr>
          <w:ilvl w:val="0"/>
          <w:numId w:val="1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Ovim Pravilnikom ne utječe se niti ograničava pravo na vanjsko prijavljivanje (prijavljivanje pučkom pravobranitelju), niti na pravo na javno razotkrivanje</w:t>
      </w:r>
      <w:r w:rsidR="00AB08A7">
        <w:rPr>
          <w:rFonts w:ascii="Arial" w:hAnsi="Arial" w:cs="Arial"/>
          <w:i w:val="0"/>
          <w:szCs w:val="24"/>
        </w:rPr>
        <w:t xml:space="preserve"> (prijavljivanje javnosti) sukladno zakonima i drugim propisima koji to pravno područje uređuju, kao niti na primjenu bilo kojeg drugog pravno obvezujućeg propisa koji uređuje pravo na slobodu izražavanja.</w:t>
      </w:r>
    </w:p>
    <w:p w:rsidR="0035180D" w:rsidRDefault="0035180D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397ACD" w:rsidRDefault="00397ACD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397ACD" w:rsidRDefault="00397ACD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AB08A7" w:rsidRPr="005E7756" w:rsidRDefault="008153CD" w:rsidP="003A0DC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lastRenderedPageBreak/>
        <w:t>Nepravilnosti</w:t>
      </w:r>
    </w:p>
    <w:p w:rsidR="008153CD" w:rsidRPr="005E7756" w:rsidRDefault="008153CD" w:rsidP="003A0DC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8153CD" w:rsidRPr="005E7756" w:rsidRDefault="008153CD" w:rsidP="003A0DC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2.</w:t>
      </w:r>
    </w:p>
    <w:p w:rsidR="008153CD" w:rsidRPr="009C0D26" w:rsidRDefault="008153CD" w:rsidP="003A0DC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F07D29" w:rsidRDefault="0035180D" w:rsidP="008153CD">
      <w:pPr>
        <w:pStyle w:val="Tijeloteksta"/>
        <w:jc w:val="both"/>
        <w:rPr>
          <w:rFonts w:ascii="Arial" w:hAnsi="Arial" w:cs="Arial"/>
          <w:i w:val="0"/>
          <w:szCs w:val="24"/>
        </w:rPr>
      </w:pPr>
      <w:r w:rsidRPr="009C0D26">
        <w:rPr>
          <w:rFonts w:ascii="Arial" w:hAnsi="Arial" w:cs="Arial"/>
          <w:i w:val="0"/>
          <w:szCs w:val="24"/>
        </w:rPr>
        <w:t xml:space="preserve"> </w:t>
      </w:r>
      <w:r w:rsidR="004418A3" w:rsidRPr="009C0D26">
        <w:rPr>
          <w:rFonts w:ascii="Arial" w:hAnsi="Arial" w:cs="Arial"/>
          <w:i w:val="0"/>
          <w:szCs w:val="24"/>
        </w:rPr>
        <w:tab/>
      </w:r>
      <w:r w:rsidR="008153CD">
        <w:rPr>
          <w:rFonts w:ascii="Arial" w:hAnsi="Arial" w:cs="Arial"/>
          <w:i w:val="0"/>
          <w:szCs w:val="24"/>
        </w:rPr>
        <w:t>U smislu ovog Pravilnika sukladno Zakonu, nepravilnosti su radnje ili propusti koji su protupravni i odnose se na područje primjene i propise navedene u članku 4. Zakona kao što su javna nabava, financijske usluge, zaštita privatnosti, javno zdravlje i sl.</w:t>
      </w:r>
    </w:p>
    <w:p w:rsidR="008153CD" w:rsidRDefault="008153CD" w:rsidP="008153C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8153C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8153CD" w:rsidRPr="005E7756" w:rsidRDefault="008153CD" w:rsidP="008153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Imenovanje povjerljive osobe</w:t>
      </w:r>
    </w:p>
    <w:p w:rsidR="008153CD" w:rsidRPr="005E7756" w:rsidRDefault="008153CD" w:rsidP="008153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8153CD" w:rsidRPr="005E7756" w:rsidRDefault="008153CD" w:rsidP="008153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3.</w:t>
      </w:r>
    </w:p>
    <w:p w:rsidR="008153CD" w:rsidRDefault="008153CD" w:rsidP="008153CD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8153CD" w:rsidRDefault="008153CD" w:rsidP="0017059C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i zamjenik povjerljive osobe je zaposlenik Općinskog državnog odvjetništva u Čakovcu koju uz njegovu suglasnost imenuje općinska državna odvjetnica u postupku propisanim ovim Pravilnikom, a za zaprimanje prijava nepravilnosti, vođenje njihove evidencije kao i vođenje postupka u svezi s prijavom nepravilnosti u Općinskom državnom odvjetništvu u Čakovcu.</w:t>
      </w:r>
    </w:p>
    <w:p w:rsidR="007440B1" w:rsidRDefault="007440B1" w:rsidP="007440B1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8153CD" w:rsidRDefault="008153CD" w:rsidP="0017059C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</w:t>
      </w:r>
      <w:r w:rsidR="00FA4E27">
        <w:rPr>
          <w:rFonts w:ascii="Arial" w:hAnsi="Arial" w:cs="Arial"/>
          <w:i w:val="0"/>
          <w:szCs w:val="24"/>
        </w:rPr>
        <w:t>ćinska državna odvjetnica imenuje povjerljivu osobu i njez</w:t>
      </w:r>
      <w:r>
        <w:rPr>
          <w:rFonts w:ascii="Arial" w:hAnsi="Arial" w:cs="Arial"/>
          <w:i w:val="0"/>
          <w:szCs w:val="24"/>
        </w:rPr>
        <w:t>ina zamjenika na prijedlog najmanje 20% zaposlenika zaposlenih u Općinskom državnom odvjetništvu u Čakovcu.</w:t>
      </w:r>
    </w:p>
    <w:p w:rsidR="007440B1" w:rsidRDefault="007440B1" w:rsidP="00CA6F1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A6F1D" w:rsidRDefault="008153CD" w:rsidP="00CA6F1D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</w:t>
      </w:r>
      <w:r w:rsidR="00FA4E27">
        <w:rPr>
          <w:rFonts w:ascii="Arial" w:hAnsi="Arial" w:cs="Arial"/>
          <w:i w:val="0"/>
          <w:szCs w:val="24"/>
        </w:rPr>
        <w:t>ostupak imenovanja povjer</w:t>
      </w:r>
      <w:r>
        <w:rPr>
          <w:rFonts w:ascii="Arial" w:hAnsi="Arial" w:cs="Arial"/>
          <w:i w:val="0"/>
          <w:szCs w:val="24"/>
        </w:rPr>
        <w:t>ljive osobe i njezina zamjenika pokreće se objav</w:t>
      </w:r>
      <w:r w:rsidR="00FA4E27">
        <w:rPr>
          <w:rFonts w:ascii="Arial" w:hAnsi="Arial" w:cs="Arial"/>
          <w:i w:val="0"/>
          <w:szCs w:val="24"/>
        </w:rPr>
        <w:t>om poziva za imenovanje povjerl</w:t>
      </w:r>
      <w:r>
        <w:rPr>
          <w:rFonts w:ascii="Arial" w:hAnsi="Arial" w:cs="Arial"/>
          <w:i w:val="0"/>
          <w:szCs w:val="24"/>
        </w:rPr>
        <w:t>jive osobe i njezina z</w:t>
      </w:r>
      <w:r w:rsidR="00FA4E27">
        <w:rPr>
          <w:rFonts w:ascii="Arial" w:hAnsi="Arial" w:cs="Arial"/>
          <w:i w:val="0"/>
          <w:szCs w:val="24"/>
        </w:rPr>
        <w:t xml:space="preserve">amjenika na </w:t>
      </w:r>
      <w:r w:rsidR="00413D85">
        <w:rPr>
          <w:rFonts w:ascii="Arial" w:hAnsi="Arial" w:cs="Arial"/>
          <w:i w:val="0"/>
          <w:szCs w:val="24"/>
        </w:rPr>
        <w:t xml:space="preserve">mrežnim stranicama Državnog odvjetništva Republike Hrvatske, podstranici Županijskog državnog odvjetništva u Varaždinu uz obavijest svim </w:t>
      </w:r>
      <w:r w:rsidR="00CA6F1D">
        <w:rPr>
          <w:rFonts w:ascii="Arial" w:hAnsi="Arial" w:cs="Arial"/>
          <w:i w:val="0"/>
          <w:szCs w:val="24"/>
        </w:rPr>
        <w:t>zaposlenicima</w:t>
      </w:r>
      <w:r w:rsidR="00413D85">
        <w:rPr>
          <w:rFonts w:ascii="Arial" w:hAnsi="Arial" w:cs="Arial"/>
          <w:i w:val="0"/>
          <w:szCs w:val="24"/>
        </w:rPr>
        <w:t xml:space="preserve"> </w:t>
      </w:r>
      <w:r w:rsidR="00CA6F1D">
        <w:rPr>
          <w:rFonts w:ascii="Arial" w:hAnsi="Arial" w:cs="Arial"/>
          <w:i w:val="0"/>
          <w:szCs w:val="24"/>
        </w:rPr>
        <w:t>elektroničkom poštom.</w:t>
      </w:r>
    </w:p>
    <w:p w:rsidR="007440B1" w:rsidRDefault="007440B1" w:rsidP="009225B6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8153CD" w:rsidRDefault="008153CD" w:rsidP="0017059C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 w:rsidRPr="0017059C">
        <w:rPr>
          <w:rFonts w:ascii="Arial" w:hAnsi="Arial" w:cs="Arial"/>
          <w:i w:val="0"/>
          <w:szCs w:val="24"/>
        </w:rPr>
        <w:t>Pozivom se zaposlenik</w:t>
      </w:r>
      <w:r w:rsidR="00FA4E27" w:rsidRPr="0017059C">
        <w:rPr>
          <w:rFonts w:ascii="Arial" w:hAnsi="Arial" w:cs="Arial"/>
          <w:i w:val="0"/>
          <w:szCs w:val="24"/>
        </w:rPr>
        <w:t>e obavještava o provedbi postupka imenovanja povjerljive osobe i njezina zamjenika te ih se poziva da u roku ne kraćem od 15 dana, bilo kojim sredstvom koje omogućuje pisani zapis, predlože povjerljivu osobu.</w:t>
      </w:r>
    </w:p>
    <w:p w:rsidR="007440B1" w:rsidRDefault="007440B1" w:rsidP="009225B6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FA4E27" w:rsidRDefault="00FA4E27" w:rsidP="0017059C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 w:rsidRPr="0017059C">
        <w:rPr>
          <w:rFonts w:ascii="Arial" w:hAnsi="Arial" w:cs="Arial"/>
          <w:i w:val="0"/>
          <w:szCs w:val="24"/>
        </w:rPr>
        <w:t>Ako u roku petnaest dana od dana poziva zaposlenicima iz stavka 3. ovoga članka, zaposlenici općinskoj državnoj odvjetnic</w:t>
      </w:r>
      <w:r w:rsidR="005F1ED4" w:rsidRPr="0017059C">
        <w:rPr>
          <w:rFonts w:ascii="Arial" w:hAnsi="Arial" w:cs="Arial"/>
          <w:i w:val="0"/>
          <w:szCs w:val="24"/>
        </w:rPr>
        <w:t>i ne daju svoj prijedlog povjer</w:t>
      </w:r>
      <w:r w:rsidRPr="0017059C">
        <w:rPr>
          <w:rFonts w:ascii="Arial" w:hAnsi="Arial" w:cs="Arial"/>
          <w:i w:val="0"/>
          <w:szCs w:val="24"/>
        </w:rPr>
        <w:t>ljive osobe i njezina zamjenika, općinska državna odvjetnica će na temelju članka 20. stavak 3. Z</w:t>
      </w:r>
      <w:r w:rsidR="005F1ED4" w:rsidRPr="0017059C">
        <w:rPr>
          <w:rFonts w:ascii="Arial" w:hAnsi="Arial" w:cs="Arial"/>
          <w:i w:val="0"/>
          <w:szCs w:val="24"/>
        </w:rPr>
        <w:t>akona povjer</w:t>
      </w:r>
      <w:r w:rsidRPr="0017059C">
        <w:rPr>
          <w:rFonts w:ascii="Arial" w:hAnsi="Arial" w:cs="Arial"/>
          <w:i w:val="0"/>
          <w:szCs w:val="24"/>
        </w:rPr>
        <w:t>ljivu osobu i njezina zamjenika imenovati samostalno.</w:t>
      </w:r>
    </w:p>
    <w:p w:rsidR="009B0C45" w:rsidRPr="0017059C" w:rsidRDefault="009B0C45" w:rsidP="009B0C45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9B0C45" w:rsidRPr="00413D85" w:rsidRDefault="00FA4E27" w:rsidP="00413D85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Ako, nakon što općinska državna odvjetnica samostalno imenuje osobe sukladno stavku 5. ovoga članka, 20% zaposlenika dostavi prijedlog za i</w:t>
      </w:r>
      <w:r w:rsidR="005F1ED4">
        <w:rPr>
          <w:rFonts w:ascii="Arial" w:hAnsi="Arial" w:cs="Arial"/>
          <w:i w:val="0"/>
          <w:szCs w:val="24"/>
        </w:rPr>
        <w:t>menovanje druge osobe za povjer</w:t>
      </w:r>
      <w:r>
        <w:rPr>
          <w:rFonts w:ascii="Arial" w:hAnsi="Arial" w:cs="Arial"/>
          <w:i w:val="0"/>
          <w:szCs w:val="24"/>
        </w:rPr>
        <w:t>ljivu osobu i njezina zamjenika, općinska državna odvjetnica će bez odgode, a najkasnije u roku osam dana, razriješiti prethodno imenovanu povjerljivu osobu i njezina zamjenika i imenovati novu osobu sukladno prijedlogu 20% zaposlenika.</w:t>
      </w:r>
    </w:p>
    <w:p w:rsidR="009B0C45" w:rsidRDefault="009B0C45" w:rsidP="009B0C45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FA4E27" w:rsidRDefault="00FA4E27" w:rsidP="0017059C">
      <w:pPr>
        <w:pStyle w:val="Tijeloteksta"/>
        <w:numPr>
          <w:ilvl w:val="0"/>
          <w:numId w:val="1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 u situaciji iz stavaka 4. ovog članka</w:t>
      </w:r>
      <w:r w:rsidR="00413D85">
        <w:rPr>
          <w:rFonts w:ascii="Arial" w:hAnsi="Arial" w:cs="Arial"/>
          <w:i w:val="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>više grupa od po na</w:t>
      </w:r>
      <w:r w:rsidR="005F1ED4">
        <w:rPr>
          <w:rFonts w:ascii="Arial" w:hAnsi="Arial" w:cs="Arial"/>
          <w:i w:val="0"/>
          <w:szCs w:val="24"/>
        </w:rPr>
        <w:t xml:space="preserve">jmanje 20% zaposlenika predloži općinskoj državnoj odvjetnici različite osobe, općinska državna odvjetnica će za povjerljivu osobu imenovati onu koju je predložilo više zaposlenika, </w:t>
      </w:r>
      <w:r w:rsidR="005F1ED4">
        <w:rPr>
          <w:rFonts w:ascii="Arial" w:hAnsi="Arial" w:cs="Arial"/>
          <w:i w:val="0"/>
          <w:szCs w:val="24"/>
        </w:rPr>
        <w:lastRenderedPageBreak/>
        <w:t>a ako je riječ o istom broju zaposlenika, onda prednost u izboru ima onaj zaposlenik čiji je prijedlog prvi zaprimljen.</w:t>
      </w:r>
    </w:p>
    <w:p w:rsidR="005F1ED4" w:rsidRDefault="005F1ED4" w:rsidP="005F1ED4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4A6861" w:rsidRDefault="004A6861" w:rsidP="005F1ED4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5F1ED4" w:rsidRPr="005E7756" w:rsidRDefault="005F1ED4" w:rsidP="005F1ED4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4.</w:t>
      </w:r>
    </w:p>
    <w:p w:rsidR="005F1ED4" w:rsidRDefault="005F1ED4" w:rsidP="005F1ED4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5F1ED4" w:rsidRDefault="005F1ED4" w:rsidP="0017059C">
      <w:pPr>
        <w:pStyle w:val="Tijeloteksta"/>
        <w:numPr>
          <w:ilvl w:val="0"/>
          <w:numId w:val="15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Odluku o imenovanju povjerljive osobe i njezina zamjenika u smislu članka 3. stavak 2. odnosno iz članka 3. stavak 5. i 6. ovog Pravilnika donosi općinska državna odvjetnica u roku od 8 dana od proteka roka za dostavu prijedloga radnika poslodavcu na poziv za imenovanje povjerljive osobe.</w:t>
      </w:r>
    </w:p>
    <w:p w:rsidR="00C207D8" w:rsidRDefault="00C207D8" w:rsidP="00C207D8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5F1ED4" w:rsidRDefault="005F1ED4" w:rsidP="0017059C">
      <w:pPr>
        <w:pStyle w:val="Tijeloteksta"/>
        <w:numPr>
          <w:ilvl w:val="0"/>
          <w:numId w:val="15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Odluka o imenovanju povjerljive osobe i njezina zamjenika obavezno sadrži sljedeće podatke o povjerljivoj osobi i njezinom zamjeniku: ime i prezime, broj telefona i adresa elektroničke pošte.</w:t>
      </w:r>
    </w:p>
    <w:p w:rsidR="00C207D8" w:rsidRDefault="00C207D8" w:rsidP="002D58F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F1ED4" w:rsidRDefault="004A1B69" w:rsidP="0017059C">
      <w:pPr>
        <w:pStyle w:val="Tijeloteksta"/>
        <w:numPr>
          <w:ilvl w:val="0"/>
          <w:numId w:val="15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Odluka o</w:t>
      </w:r>
      <w:r w:rsidR="005F1ED4">
        <w:rPr>
          <w:rFonts w:ascii="Arial" w:hAnsi="Arial" w:cs="Arial"/>
          <w:i w:val="0"/>
          <w:szCs w:val="24"/>
        </w:rPr>
        <w:t xml:space="preserve"> imenovanju povjerljive osobe i njezina zamjenika </w:t>
      </w:r>
      <w:r>
        <w:rPr>
          <w:rFonts w:ascii="Arial" w:hAnsi="Arial" w:cs="Arial"/>
          <w:i w:val="0"/>
          <w:szCs w:val="24"/>
        </w:rPr>
        <w:t xml:space="preserve">objavljuje se na mrežnim stranicama </w:t>
      </w:r>
      <w:r w:rsidR="00FF6D31">
        <w:rPr>
          <w:rFonts w:ascii="Arial" w:hAnsi="Arial" w:cs="Arial"/>
          <w:i w:val="0"/>
          <w:szCs w:val="24"/>
        </w:rPr>
        <w:t>Državnog odvjetništva Republike Hrvatske, pod</w:t>
      </w:r>
      <w:r w:rsidR="009225B6">
        <w:rPr>
          <w:rFonts w:ascii="Arial" w:hAnsi="Arial" w:cs="Arial"/>
          <w:i w:val="0"/>
          <w:szCs w:val="24"/>
        </w:rPr>
        <w:t>stranici</w:t>
      </w:r>
      <w:r w:rsidR="00FF6D31">
        <w:rPr>
          <w:rFonts w:ascii="Arial" w:hAnsi="Arial" w:cs="Arial"/>
          <w:i w:val="0"/>
          <w:szCs w:val="24"/>
        </w:rPr>
        <w:t xml:space="preserve"> Županijskog državnog odvjetništva u Varaždinu</w:t>
      </w:r>
      <w:r w:rsidR="00CA6F1D">
        <w:rPr>
          <w:rFonts w:ascii="Arial" w:hAnsi="Arial" w:cs="Arial"/>
          <w:i w:val="0"/>
          <w:szCs w:val="24"/>
        </w:rPr>
        <w:t>,</w:t>
      </w:r>
      <w:r w:rsidR="005F1ED4">
        <w:rPr>
          <w:rFonts w:ascii="Arial" w:hAnsi="Arial" w:cs="Arial"/>
          <w:i w:val="0"/>
          <w:szCs w:val="24"/>
        </w:rPr>
        <w:t xml:space="preserve"> kao i svaka promjena podataka iz stavka 2. ovog članka.</w:t>
      </w:r>
    </w:p>
    <w:p w:rsidR="00397ACD" w:rsidRDefault="00397ACD" w:rsidP="00397AC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397AC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397ACD" w:rsidRPr="005E7756" w:rsidRDefault="00397ACD" w:rsidP="00397A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Pristanak povjerljive osobe</w:t>
      </w:r>
    </w:p>
    <w:p w:rsidR="00397ACD" w:rsidRPr="005E7756" w:rsidRDefault="00397ACD" w:rsidP="00397A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397ACD" w:rsidRPr="005E7756" w:rsidRDefault="00397ACD" w:rsidP="00397ACD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5.</w:t>
      </w:r>
    </w:p>
    <w:p w:rsidR="00397ACD" w:rsidRDefault="00397ACD" w:rsidP="00397ACD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397ACD" w:rsidRDefault="00397ACD" w:rsidP="00C207D8">
      <w:pPr>
        <w:pStyle w:val="Tijeloteksta"/>
        <w:numPr>
          <w:ilvl w:val="0"/>
          <w:numId w:val="1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Zaposlenici koji predlažu povjerljivu osobu i njezinog zamjenika trebaju prethodno pribaviti njihov pristanak, koji se daje u pisanom obliku i zajedno s prijedlogom dostavlja općinskoj državnoj odvjetnici.</w:t>
      </w:r>
    </w:p>
    <w:p w:rsidR="00C207D8" w:rsidRDefault="00C207D8" w:rsidP="00C207D8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397ACD" w:rsidRDefault="00397ACD" w:rsidP="00C207D8">
      <w:pPr>
        <w:pStyle w:val="Tijeloteksta"/>
        <w:numPr>
          <w:ilvl w:val="0"/>
          <w:numId w:val="1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imenuje povjerljivu osobu i zamjenika povjerljive osobe, uz prethodni pisani pristanak.</w:t>
      </w:r>
    </w:p>
    <w:p w:rsidR="00C207D8" w:rsidRDefault="00C207D8" w:rsidP="0005467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397ACD" w:rsidRDefault="00C94EB5" w:rsidP="00C207D8">
      <w:pPr>
        <w:pStyle w:val="Tijeloteksta"/>
        <w:numPr>
          <w:ilvl w:val="0"/>
          <w:numId w:val="1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povjerljivoj osobi i njezinu zamjeniku izdaje pisanu obavijest o imenovanju.</w:t>
      </w:r>
    </w:p>
    <w:p w:rsidR="00C207D8" w:rsidRDefault="00C207D8" w:rsidP="00C207D8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C207D8">
      <w:pPr>
        <w:pStyle w:val="Tijeloteksta"/>
        <w:numPr>
          <w:ilvl w:val="0"/>
          <w:numId w:val="1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i njezin zamjenik dužni su, prije početka obavljanja poslova iz svoje nadležnosti, potpisati Izjavu o povjerljivosti, koja se prilaže očevidniku zaposlenika.</w:t>
      </w:r>
    </w:p>
    <w:p w:rsidR="00C94EB5" w:rsidRDefault="00C94EB5" w:rsidP="00C94EB5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C94EB5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94EB5" w:rsidRPr="005E7756" w:rsidRDefault="00C94EB5" w:rsidP="00C94EB5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Razrješenje povjerljive osobe i prestanak te dužnosti</w:t>
      </w:r>
    </w:p>
    <w:p w:rsidR="00C94EB5" w:rsidRPr="005E7756" w:rsidRDefault="00C94EB5" w:rsidP="00C94EB5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C94EB5" w:rsidRPr="005E7756" w:rsidRDefault="00C94EB5" w:rsidP="00C94EB5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6.</w:t>
      </w:r>
    </w:p>
    <w:p w:rsidR="00C94EB5" w:rsidRDefault="00C94EB5" w:rsidP="00C94EB5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može u svako doba pisanim putem tražiti da je se razriješi, odnosno dati pisanu izjavu da povlači svoj pristanak.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lastRenderedPageBreak/>
        <w:t>U slučaju iz stavka 1. ovoga članka općinska državna odvjetnica će razriješiti povjerljivu osobu i o tome obavijestiti zaposlenike te zatražiti prijedlog za imenovanje druge osobe i postupati sukladno članku 3. stavak 3. do 6. ovoga Pravilnika.</w:t>
      </w:r>
    </w:p>
    <w:p w:rsidR="009525FE" w:rsidRDefault="009525FE" w:rsidP="002D58F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 povjerljivoj osobi prestane radni odnos u Općinskom državnom odvjetništvu u Čakovcu, time joj prestaje svojstvo povjerljive osobe te općinska državna odvjetnica dalje postupa na način određen člankom 3. stavak 3. do 6. ovoga Pravilnika.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može opozvati povjerljivu osobu koju je sama imenovala i kad postoje drugi opravdani razlozi za prestanak obavljanja dužnosti povjerljive osobe.</w:t>
      </w:r>
    </w:p>
    <w:p w:rsidR="009525FE" w:rsidRDefault="009525FE" w:rsidP="002D58F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prestanka obavljanja funkcije povjerljive osobe, do imenovanja druge povjerljive osobe sve poslove povjerljive osobe obavlja zamjenik.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94EB5" w:rsidRDefault="00C94EB5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 i povjerljiva osoba i njezin zamjenik prestanu obavljati svoju funkciju povjerljive osobe</w:t>
      </w:r>
      <w:r w:rsidR="00177B06">
        <w:rPr>
          <w:rFonts w:ascii="Arial" w:hAnsi="Arial" w:cs="Arial"/>
          <w:i w:val="0"/>
          <w:szCs w:val="24"/>
        </w:rPr>
        <w:t xml:space="preserve"> odnosno zamjenika povjerljive osobe, općinska državna odvjetnica bez odgode privremeno imenuje treću osobu za povjerljivu osobu. Sva prava, ovlasti i obveze povjerljive osobe na odgovarajući način primjenjuju se na privremeno imenovanu osobu.</w:t>
      </w:r>
    </w:p>
    <w:p w:rsidR="009525FE" w:rsidRDefault="009525FE" w:rsidP="002D58FD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FC5756" w:rsidRDefault="00FC5756" w:rsidP="00DC3F02">
      <w:pPr>
        <w:pStyle w:val="Tijeloteksta"/>
        <w:numPr>
          <w:ilvl w:val="0"/>
          <w:numId w:val="1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dužna je i po prestanku obavljanja dužnosti povjerljive osobe, pa i nakon prestanka radnog odnosa u Općinskom državnom odvjetništvu u Čakovcu, čuvati povjerljivost podataka za koje doznala tijekom obavljanja poslova povjerljive osobe.</w:t>
      </w:r>
    </w:p>
    <w:p w:rsidR="00FC5756" w:rsidRDefault="00FC5756" w:rsidP="00FC5756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FC5756" w:rsidRPr="005E7756" w:rsidRDefault="00FC5756" w:rsidP="00FC575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Zamjenik i privremeno imenovana osoba</w:t>
      </w:r>
    </w:p>
    <w:p w:rsidR="00FC5756" w:rsidRPr="005E7756" w:rsidRDefault="00FC5756" w:rsidP="00FC575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FC5756" w:rsidRPr="005E7756" w:rsidRDefault="00FC5756" w:rsidP="00FC5756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7.</w:t>
      </w:r>
    </w:p>
    <w:p w:rsidR="00FC5756" w:rsidRDefault="00FC5756" w:rsidP="00FC5756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FC5756" w:rsidRDefault="00FC5756" w:rsidP="00DC3F02">
      <w:pPr>
        <w:pStyle w:val="Tijeloteksta"/>
        <w:numPr>
          <w:ilvl w:val="0"/>
          <w:numId w:val="1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Zamjenik preuzima funkciju povjerljive osobe čiji je zamjenik kada povjerljivoj osobi prestane ta dužnost iz bilo kojeg razloga, i to do imenovanja druge povjerljive osobe, odnosno u slučaju dulje nenazočnosti povjerljive osobe (petnaest i više dana), ili ako ga povjerljiva osoba posebno na to ovlasti, ili u slučaju kraće nenazočnosti povjerljive osobe ako postoje opravdani razlozi da se ispitivanje prijave nepravilnosti ne odgađa do povratka povjerljive osobe.</w:t>
      </w:r>
    </w:p>
    <w:p w:rsidR="00DC3F02" w:rsidRDefault="00DC3F02" w:rsidP="00DC3F02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6D5052" w:rsidRDefault="006D5052" w:rsidP="00DC3F02">
      <w:pPr>
        <w:pStyle w:val="Tijeloteksta"/>
        <w:numPr>
          <w:ilvl w:val="0"/>
          <w:numId w:val="1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Kada okolnosti slučaja to zahtijevaju, u dogovoru s povjerljivom osobom zamjenik može redovito sudjelovati u radu povjerljive osobe, kao njezin pomoćnik.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5E7756" w:rsidRDefault="006D5052" w:rsidP="006D5052">
      <w:pPr>
        <w:pStyle w:val="Tijeloteksta"/>
        <w:numPr>
          <w:ilvl w:val="0"/>
          <w:numId w:val="1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Kada sadržaj prijave nepravilnosti ukazuje da je to potrebno, povjerljiva osoba može zatražiti od općinske državne odvjetnice da se u postupak ispitivanja pritužbe uključe osobe koje raspolažu odgovarajućim informacijama odnosno znanjima potrebnim za ispitivanje pritužbe. Osobe koje su uključene u postupak ispitivanja pritužbe dužne su čuvati povjerljivost podataka koje doznaju tijekom sudjelovanja u ispitivanju pritužbe. O tome daju izjavu u pisanom obliku, koju su dužni potpisati.</w:t>
      </w:r>
    </w:p>
    <w:p w:rsidR="00B0034F" w:rsidRPr="00B0034F" w:rsidRDefault="00B0034F" w:rsidP="00B0034F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6D5052" w:rsidRPr="005E7756" w:rsidRDefault="006D5052" w:rsidP="006D505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lastRenderedPageBreak/>
        <w:t>Opoziv povjerljive osobe</w:t>
      </w:r>
    </w:p>
    <w:p w:rsidR="006D5052" w:rsidRPr="005E7756" w:rsidRDefault="006D5052" w:rsidP="006D505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6D5052" w:rsidRPr="005E7756" w:rsidRDefault="006D5052" w:rsidP="006D505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8.</w:t>
      </w:r>
    </w:p>
    <w:p w:rsidR="006D5052" w:rsidRDefault="006D5052" w:rsidP="006D505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6D5052" w:rsidRDefault="006D5052" w:rsidP="00DC3F02">
      <w:pPr>
        <w:pStyle w:val="Tijeloteksta"/>
        <w:numPr>
          <w:ilvl w:val="0"/>
          <w:numId w:val="19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Zaposlenici mogu tražiti razrješenje povjerljive osobe ili njezinog zamjenika, neovisno o tome je li imenovan na prijedlog zaposlenika ili bez tog prijedloga, s tim da opoziv može tražiti najmanje 20% zaposlenika.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6D5052" w:rsidRDefault="006D5052" w:rsidP="00DC3F02">
      <w:pPr>
        <w:pStyle w:val="Tijeloteksta"/>
        <w:numPr>
          <w:ilvl w:val="0"/>
          <w:numId w:val="19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zahtjeva za razrješenjem općinska državna odvjetnica je dužna povjerljivu osobu ili njezinog zamjenika razriješiti bez odgode.</w:t>
      </w:r>
    </w:p>
    <w:p w:rsidR="009525FE" w:rsidRDefault="009525FE" w:rsidP="002B41C1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6D5052" w:rsidRDefault="006D5052" w:rsidP="00DC3F02">
      <w:pPr>
        <w:pStyle w:val="Tijeloteksta"/>
        <w:numPr>
          <w:ilvl w:val="0"/>
          <w:numId w:val="19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Do donošenja odluke o imenovanju nove povjerljive osobe poslove povjerljive osobe obavlja njezin zamjenik, osim ako okolnosti upućuju na to da je potrebno privremeno imenovati treću osobu za povjerljivu osobu.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1E3A51" w:rsidRDefault="001E3A51" w:rsidP="00DC3F02">
      <w:pPr>
        <w:pStyle w:val="Tijeloteksta"/>
        <w:numPr>
          <w:ilvl w:val="0"/>
          <w:numId w:val="19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Prilikom opoziva</w:t>
      </w:r>
      <w:r w:rsidR="001D0FD5">
        <w:rPr>
          <w:rFonts w:ascii="Arial" w:hAnsi="Arial" w:cs="Arial"/>
          <w:i w:val="0"/>
          <w:szCs w:val="24"/>
        </w:rPr>
        <w:t>,</w:t>
      </w:r>
      <w:r>
        <w:rPr>
          <w:rFonts w:ascii="Arial" w:hAnsi="Arial" w:cs="Arial"/>
          <w:i w:val="0"/>
          <w:szCs w:val="24"/>
        </w:rPr>
        <w:t xml:space="preserve"> najmanje 20% zaposlen</w:t>
      </w:r>
      <w:r w:rsidR="00B0034F">
        <w:rPr>
          <w:rFonts w:ascii="Arial" w:hAnsi="Arial" w:cs="Arial"/>
          <w:i w:val="0"/>
          <w:szCs w:val="24"/>
        </w:rPr>
        <w:t>ika trebalo</w:t>
      </w:r>
      <w:r>
        <w:rPr>
          <w:rFonts w:ascii="Arial" w:hAnsi="Arial" w:cs="Arial"/>
          <w:i w:val="0"/>
          <w:szCs w:val="24"/>
        </w:rPr>
        <w:t xml:space="preserve"> bi odmah dati prijedlog nove povjerljive osobe.</w:t>
      </w:r>
    </w:p>
    <w:p w:rsidR="0017059C" w:rsidRDefault="0017059C" w:rsidP="0017059C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17059C" w:rsidRPr="005E7756" w:rsidRDefault="0017059C" w:rsidP="0017059C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Osiguranje nesmetanog djelovanja</w:t>
      </w:r>
    </w:p>
    <w:p w:rsidR="0017059C" w:rsidRPr="005E7756" w:rsidRDefault="0017059C" w:rsidP="0017059C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7059C" w:rsidRPr="005E7756" w:rsidRDefault="0017059C" w:rsidP="0017059C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9.</w:t>
      </w:r>
    </w:p>
    <w:p w:rsidR="009B0C45" w:rsidRDefault="009B0C45" w:rsidP="0017059C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9B0C45" w:rsidRDefault="00EC5F57" w:rsidP="00DC3F02">
      <w:pPr>
        <w:pStyle w:val="Tijeloteksta"/>
        <w:numPr>
          <w:ilvl w:val="0"/>
          <w:numId w:val="20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mora povjerljivoj osobi omogućiti rad i nesmetano djelovanje kao povjerljivoj osobi, u tom smislu ne smije je rasporediti na mjesto rada, smjenu i sl. koji bi onemogućili ili bitno otežali njezino djelovanje.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EC5F57" w:rsidRDefault="00EC5F57" w:rsidP="00DC3F02">
      <w:pPr>
        <w:pStyle w:val="Tijeloteksta"/>
        <w:numPr>
          <w:ilvl w:val="0"/>
          <w:numId w:val="20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Zbog svojeg djelovanja u dobroj vjeri kao povjerljiva osoba, ona ne smije trpjeti nikakve štetne posljedice. Općinska državna odvjetnica je dužna, u skladu s potrebama i mogućnostima, osigurati povjerljivoj osobi odgovarajuću izobrazbu u svrhu što kvalitetnijeg obavljanja zadaća povjerljive osobe. Povjerljiva osoba dužna je sudjelovati u programima izobrazbe koji se odnose na zaštitu prijavitelja nepravilnosti.</w:t>
      </w:r>
    </w:p>
    <w:p w:rsidR="009525FE" w:rsidRDefault="009525FE" w:rsidP="00DC3F02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924B20" w:rsidRPr="007E29B3" w:rsidRDefault="00EC5F57" w:rsidP="007E29B3">
      <w:pPr>
        <w:pStyle w:val="Tijeloteksta"/>
        <w:numPr>
          <w:ilvl w:val="0"/>
          <w:numId w:val="20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i zamjenik povjerljive osobe imaju pravo na zaštitu iz članka 8. stavak 3. Zakona.</w:t>
      </w:r>
    </w:p>
    <w:p w:rsidR="00924B20" w:rsidRPr="00DC3F02" w:rsidRDefault="00924B20" w:rsidP="00924B20">
      <w:pPr>
        <w:pStyle w:val="Tijeloteksta"/>
        <w:ind w:left="426"/>
        <w:jc w:val="both"/>
        <w:rPr>
          <w:rFonts w:ascii="Arial" w:hAnsi="Arial" w:cs="Arial"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Obavijest o povjerljivoj osobi</w:t>
      </w: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10.</w:t>
      </w:r>
    </w:p>
    <w:p w:rsidR="00EC5F57" w:rsidRDefault="00EC5F57" w:rsidP="00EC5F57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EC5F57" w:rsidRDefault="00EC5F57" w:rsidP="00EC5F57">
      <w:pPr>
        <w:pStyle w:val="Tijeloteksta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  <w:t>O povjerljivoj osobi općinska državna odvjetnica mora obavijestiti sve zaposlenike na način predviđen člankom 3. stavak 3. ovoga Pravilnika.</w:t>
      </w:r>
    </w:p>
    <w:p w:rsidR="00924B20" w:rsidRDefault="00924B20" w:rsidP="00EC5F57">
      <w:pPr>
        <w:pStyle w:val="Tijeloteksta"/>
        <w:rPr>
          <w:rFonts w:ascii="Arial" w:hAnsi="Arial" w:cs="Arial"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Zabrana sprječavanja prijavljivanja nepravilnosti</w:t>
      </w: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11.</w:t>
      </w:r>
    </w:p>
    <w:p w:rsidR="00EC5F57" w:rsidRDefault="00EC5F57" w:rsidP="00EC5F57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EC5F57" w:rsidRDefault="00EC5F57" w:rsidP="00EC5F57">
      <w:pPr>
        <w:pStyle w:val="Tijeloteksta"/>
        <w:numPr>
          <w:ilvl w:val="0"/>
          <w:numId w:val="21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Zabranjeno je sprječavanje ili pokušaj sprječavanja prijavljivanja nepravilnosti.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EC5F57" w:rsidRDefault="00EC5F57" w:rsidP="00DC3F02">
      <w:pPr>
        <w:pStyle w:val="Tijeloteksta"/>
        <w:numPr>
          <w:ilvl w:val="0"/>
          <w:numId w:val="21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Odredbe općeg ili pojedinačnog akta poslodavca te pravnog posla kojima se propisuje zabrana prijavljivanja nepravilnosti, nemaju pravni učinak.</w:t>
      </w:r>
    </w:p>
    <w:p w:rsidR="005E7756" w:rsidRDefault="005E7756" w:rsidP="00EC5F57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EC5F57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Zabrana osvete</w:t>
      </w: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EC5F57" w:rsidRPr="005E7756" w:rsidRDefault="00EC5F57" w:rsidP="00EC5F57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12.</w:t>
      </w:r>
    </w:p>
    <w:p w:rsidR="00EC5F57" w:rsidRPr="005E7756" w:rsidRDefault="00EC5F57" w:rsidP="00EC5F57">
      <w:pPr>
        <w:pStyle w:val="Tijeloteksta"/>
        <w:rPr>
          <w:rFonts w:ascii="Arial" w:hAnsi="Arial" w:cs="Arial"/>
          <w:b/>
          <w:i w:val="0"/>
          <w:szCs w:val="24"/>
        </w:rPr>
      </w:pPr>
    </w:p>
    <w:p w:rsidR="00EC5F57" w:rsidRDefault="00EC5F57" w:rsidP="00DC3F02">
      <w:pPr>
        <w:pStyle w:val="Tijeloteksta"/>
        <w:numPr>
          <w:ilvl w:val="0"/>
          <w:numId w:val="2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Prijavitelj nepravilnosti koji ima opravdane razloge vjerovati da su prijavljene informacije točne i da su obuhvaćene područjem primjene Zakona o zaštiti prijavitelja nepravilnosti, niti na koji način ne smije biti stavljen u nepovoljan položaj zbog prijavljivanja nepravilnosti.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EC5F57" w:rsidRDefault="00EC5F57" w:rsidP="00DC3F02">
      <w:pPr>
        <w:pStyle w:val="Tijeloteksta"/>
        <w:numPr>
          <w:ilvl w:val="0"/>
          <w:numId w:val="2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Osvetom se smatra privremeno udaljavanje, otkaz, razrješenje, degradiranje i nemogućnost napredovanja, neisplata i smanjenje plaće i drugih naknada, pokretanje stegovnog postupka, izricanje stegovnih mjera ili kazni, uskrata radnih</w:t>
      </w:r>
      <w:r w:rsidR="00094F93">
        <w:rPr>
          <w:rFonts w:ascii="Arial" w:hAnsi="Arial" w:cs="Arial"/>
          <w:i w:val="0"/>
          <w:szCs w:val="24"/>
        </w:rPr>
        <w:t xml:space="preserve">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postupanja.</w:t>
      </w:r>
    </w:p>
    <w:p w:rsidR="009525FE" w:rsidRDefault="009525FE" w:rsidP="0005467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094F93" w:rsidRPr="007E29B3" w:rsidRDefault="00094F93" w:rsidP="00094F93">
      <w:pPr>
        <w:pStyle w:val="Tijeloteksta"/>
        <w:numPr>
          <w:ilvl w:val="0"/>
          <w:numId w:val="2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Prijava nepravilnosti, sukladno Zakonu o zaštiti prijavitelja nepravilnosti i ovom Pravilniku, neovisno o kojoj je vrsti prijavljivanja riječ, ne smatra se povredom čuvanja poslovne tajne.</w:t>
      </w:r>
    </w:p>
    <w:p w:rsidR="005E7756" w:rsidRDefault="005E7756" w:rsidP="00094F93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Dobra vjera prijavitelja nepravilnosti</w:t>
      </w: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13.</w:t>
      </w:r>
    </w:p>
    <w:p w:rsidR="00094F93" w:rsidRDefault="00094F93" w:rsidP="00094F93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094F93" w:rsidRDefault="00094F93" w:rsidP="00094F93">
      <w:pPr>
        <w:pStyle w:val="Tijeloteksta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  <w:t>Prijavitelj nepravilnosti dužan je savjesno i pošteno prijavljivati nepravilnosti o kojima ima saznanja i koje smatra istinitima u trenutku prijavljivanja nepravilnosti.</w:t>
      </w:r>
    </w:p>
    <w:p w:rsidR="00094F93" w:rsidRDefault="00094F93" w:rsidP="00094F93">
      <w:pPr>
        <w:pStyle w:val="Tijeloteksta"/>
        <w:rPr>
          <w:rFonts w:ascii="Arial" w:hAnsi="Arial" w:cs="Arial"/>
          <w:i w:val="0"/>
          <w:szCs w:val="24"/>
        </w:rPr>
      </w:pPr>
    </w:p>
    <w:p w:rsidR="00094F93" w:rsidRDefault="00094F93" w:rsidP="00094F93">
      <w:pPr>
        <w:pStyle w:val="Tijeloteksta"/>
        <w:rPr>
          <w:rFonts w:ascii="Arial" w:hAnsi="Arial" w:cs="Arial"/>
          <w:i w:val="0"/>
          <w:szCs w:val="24"/>
        </w:rPr>
      </w:pP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Zabrana zloporabe prijavljivanja nepravilnosti</w:t>
      </w: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14.</w:t>
      </w:r>
    </w:p>
    <w:p w:rsidR="00094F93" w:rsidRDefault="00094F93" w:rsidP="00094F93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094F93" w:rsidRDefault="00094F93" w:rsidP="00094F93">
      <w:pPr>
        <w:pStyle w:val="Tijeloteksta"/>
        <w:numPr>
          <w:ilvl w:val="0"/>
          <w:numId w:val="24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Zabranjena je zloporaba prijavljivanja nepravilnosti.</w:t>
      </w:r>
    </w:p>
    <w:p w:rsidR="009525FE" w:rsidRDefault="009525FE" w:rsidP="009525FE">
      <w:pPr>
        <w:pStyle w:val="Tijeloteksta"/>
        <w:ind w:left="720"/>
        <w:rPr>
          <w:rFonts w:ascii="Arial" w:hAnsi="Arial" w:cs="Arial"/>
          <w:i w:val="0"/>
          <w:szCs w:val="24"/>
        </w:rPr>
      </w:pPr>
    </w:p>
    <w:p w:rsidR="00094F93" w:rsidRDefault="00094F93" w:rsidP="00094F93">
      <w:pPr>
        <w:pStyle w:val="Tijeloteksta"/>
        <w:numPr>
          <w:ilvl w:val="0"/>
          <w:numId w:val="24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Zloporabu prijavl</w:t>
      </w:r>
      <w:r w:rsidR="0005467B">
        <w:rPr>
          <w:rFonts w:ascii="Arial" w:hAnsi="Arial" w:cs="Arial"/>
          <w:i w:val="0"/>
          <w:szCs w:val="24"/>
        </w:rPr>
        <w:t>ji</w:t>
      </w:r>
      <w:r>
        <w:rPr>
          <w:rFonts w:ascii="Arial" w:hAnsi="Arial" w:cs="Arial"/>
          <w:i w:val="0"/>
          <w:szCs w:val="24"/>
        </w:rPr>
        <w:t>vanja nepravilnosti čini osoba koja: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dostavi informaciju za koju je znala da nije istinita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uz zahtjev za postupanje u svezi s prijavom nepravilnosti traži protupravnu korist</w:t>
      </w:r>
    </w:p>
    <w:p w:rsidR="005E7756" w:rsidRPr="00B0034F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poduzima druge radnje kojima je svrhe isključivo nanijeti štetu Općinskom državnom odvjetništvu u Čakovcu.</w:t>
      </w: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lastRenderedPageBreak/>
        <w:t>Sadržaj prijave</w:t>
      </w: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094F93" w:rsidRPr="005E7756" w:rsidRDefault="00094F93" w:rsidP="00094F93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15.</w:t>
      </w:r>
    </w:p>
    <w:p w:rsidR="00094F93" w:rsidRDefault="00094F93" w:rsidP="00094F93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094F93" w:rsidRDefault="00094F93" w:rsidP="00094F93">
      <w:pPr>
        <w:pStyle w:val="Tijeloteksta"/>
        <w:numPr>
          <w:ilvl w:val="0"/>
          <w:numId w:val="26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Prijava treba sadržavati podatke o: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prijavitelju nepravilnosti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nazivu poslodavca prijavitelja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osobi i/ili osobama na koje se prijava odnosi</w:t>
      </w:r>
    </w:p>
    <w:p w:rsidR="00094F93" w:rsidRDefault="00094F93" w:rsidP="00094F93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datumu prijave i opisu nepravilnosti koja se prijavljuje</w:t>
      </w:r>
    </w:p>
    <w:p w:rsidR="009525FE" w:rsidRDefault="009525FE" w:rsidP="009525FE">
      <w:pPr>
        <w:pStyle w:val="Tijeloteksta"/>
        <w:ind w:left="1080"/>
        <w:rPr>
          <w:rFonts w:ascii="Arial" w:hAnsi="Arial" w:cs="Arial"/>
          <w:i w:val="0"/>
          <w:szCs w:val="24"/>
        </w:rPr>
      </w:pPr>
    </w:p>
    <w:p w:rsidR="00094F93" w:rsidRDefault="00094F93" w:rsidP="00DC3F02">
      <w:pPr>
        <w:pStyle w:val="Tijeloteksta"/>
        <w:numPr>
          <w:ilvl w:val="0"/>
          <w:numId w:val="2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Nedostaje li koji od podataka navedenih u stavku 1. ovog članka, a bez tog podatka/podataka ne može se dalje postupati, povjerljiva će osoba pozvati prijavitelja da prijavu dopuni, ako je to moguće.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094F93" w:rsidRDefault="00094F93" w:rsidP="00DC3F02">
      <w:pPr>
        <w:pStyle w:val="Tijeloteksta"/>
        <w:numPr>
          <w:ilvl w:val="0"/>
          <w:numId w:val="26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Ako prijavitelj prijavu ne dopuni ili ako nije moguće prijavitelja pozvati da dopuni prijavu, uz uvjet da se prema toj prijavi </w:t>
      </w:r>
      <w:r w:rsidR="00457911">
        <w:rPr>
          <w:rFonts w:ascii="Arial" w:hAnsi="Arial" w:cs="Arial"/>
          <w:i w:val="0"/>
          <w:szCs w:val="24"/>
        </w:rPr>
        <w:t>ne može dalje postupati, povjer</w:t>
      </w:r>
      <w:r>
        <w:rPr>
          <w:rFonts w:ascii="Arial" w:hAnsi="Arial" w:cs="Arial"/>
          <w:i w:val="0"/>
          <w:szCs w:val="24"/>
        </w:rPr>
        <w:t>ljiva osoba prijavu će odbaciti. Odluku o odbačaju prijave dostavit će prijavitelju, ako je to moguće.</w:t>
      </w:r>
    </w:p>
    <w:p w:rsidR="00E01494" w:rsidRDefault="00E01494" w:rsidP="00E01494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03491" w:rsidRDefault="00C03491" w:rsidP="00E01494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E01494" w:rsidRPr="005E7756" w:rsidRDefault="00E01494" w:rsidP="00E01494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Postupak unutarnjeg prijavljivanja nepravilnosti</w:t>
      </w:r>
    </w:p>
    <w:p w:rsidR="00E01494" w:rsidRPr="005E7756" w:rsidRDefault="00E01494" w:rsidP="00E01494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E01494" w:rsidRPr="005E7756" w:rsidRDefault="00E01494" w:rsidP="00E01494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16.</w:t>
      </w:r>
    </w:p>
    <w:p w:rsidR="00E01494" w:rsidRDefault="00E01494" w:rsidP="00E01494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E01494" w:rsidRDefault="00E01494" w:rsidP="00DC3F02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Postupak unutarnjeg prijavljivanja nepravilnosti započinje dostavljanjem prijave povjerljivoj osobi. U svrhu prijavljivanja nepravilnosti povjerljiva osoba zainteresiranoj osobi, kao mogućem prijavitelju, pruža informacije o postupku podnošenja prijave i ispitivanja prijave.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E01494" w:rsidRDefault="00E01494" w:rsidP="00E01494">
      <w:pPr>
        <w:pStyle w:val="Tijeloteksta"/>
        <w:numPr>
          <w:ilvl w:val="0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dužna je:</w:t>
      </w:r>
    </w:p>
    <w:p w:rsidR="00C03491" w:rsidRDefault="00C03491" w:rsidP="00C03491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zaprimiti prijavu nepravilnosti i osnovati spis (spis predmeta po podnesenoj prijavi sadržava: podatke o prijavitelju, opis nepravilnosti i informacije o osobi na koju se nepravilnost odnosi, datum primitka prijave, odnosno uočavanja nepravilnosti i prikupljenu dokumentaciju tijeka postupka).</w:t>
      </w: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voditi evidenciju o zaprimljenim prijavama</w:t>
      </w: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ispitati prijavu nepravilnosti najkasnije u roku 60 dana od dana zaprimanja prijave</w:t>
      </w: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bez odgode poduzeti radnje iz svoje nadležnosti potrebne za zaštitu prijavitelja nepravilnosti ako je prijavitelj nepravilnosti učinio vjerojatnim da jest ili bi mogao biti žrtva štetne radnje zbog prijave nepravilnosti</w:t>
      </w: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prijavu o nepravilnosti proslijediti tijelima ovlaštenima na postupanje prema sadržaju prijave, ako nepravilnost nije riješena s općinskom državnom odvjetnicom</w:t>
      </w:r>
    </w:p>
    <w:p w:rsidR="00E01494" w:rsidRDefault="00E01494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obavijestiti prijavitelja nepravilnosti, na njegov zahtjev, o tijeku i radnjama poduzetima u postupku i omogućiti mu uvid u spis u roku trideset dana od zaprimanja zahtjeva</w:t>
      </w:r>
    </w:p>
    <w:p w:rsidR="001538B1" w:rsidRDefault="001538B1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lastRenderedPageBreak/>
        <w:t>pisanim putem obavijestiti prijavitelja nepravilnosti o ishodu postupka iz stavka 1. ovoga članka odmah nakon njegova završetka</w:t>
      </w:r>
    </w:p>
    <w:p w:rsidR="001538B1" w:rsidRDefault="001538B1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pisanim putem izvijestiti nadležno tijelo za vanjsko prijavljivanje nepravilnosti o zaprimljenim prijavama u roku 30 dana od odlučivanja o prijavi</w:t>
      </w:r>
    </w:p>
    <w:p w:rsidR="001538B1" w:rsidRDefault="001538B1" w:rsidP="00E01494">
      <w:pPr>
        <w:pStyle w:val="Tijeloteksta"/>
        <w:numPr>
          <w:ilvl w:val="1"/>
          <w:numId w:val="27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čuvati identitet prijavitelja nepravilnosti i podatke zaprimljene u prijavi od neovlaštenog otkrivanja odnosno objave drugim osobama, osim ako to nije suprotno zakonu</w:t>
      </w:r>
      <w:r w:rsidR="00CB4B6B">
        <w:rPr>
          <w:rFonts w:ascii="Arial" w:hAnsi="Arial" w:cs="Arial"/>
          <w:i w:val="0"/>
          <w:szCs w:val="24"/>
        </w:rPr>
        <w:t>.</w:t>
      </w:r>
    </w:p>
    <w:p w:rsidR="009525FE" w:rsidRDefault="009525FE" w:rsidP="009525FE">
      <w:pPr>
        <w:pStyle w:val="Tijeloteksta"/>
        <w:ind w:left="1080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B704BC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ne smije povjerljivu osobu i/ili njezina zamjenika staviti u nepovoljan položaj.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B704BC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Općinska državna odvjetnica ne smije utjecati ili pokušati utjecati na postupanje povjerljive osobe i/ili njezina zamjenika prilikom poduzimanja radnji iz njihove nadležnosti potrebnih za zaštitu prijavitelja nepravilnosti.</w:t>
      </w:r>
    </w:p>
    <w:p w:rsidR="009525FE" w:rsidRDefault="009525FE" w:rsidP="001C1368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B704BC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i/ili njezin zamjenik trebaju svoje dužnosti obavljati zakonito i savjesno i ne smiju zloporabiti svoje ovlasti na štetu prijavitelja nepravilnosti.</w:t>
      </w:r>
    </w:p>
    <w:p w:rsidR="009525FE" w:rsidRDefault="009525FE" w:rsidP="009525FE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B704BC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Pravilniku, istinita i da je opravdano prijavu proslijediti tijelu nadležnom za odlučivanje.</w:t>
      </w:r>
    </w:p>
    <w:p w:rsidR="009525FE" w:rsidRDefault="009525FE" w:rsidP="009525FE">
      <w:pPr>
        <w:pStyle w:val="Odlomakpopisa"/>
        <w:rPr>
          <w:rFonts w:ascii="Arial" w:hAnsi="Arial" w:cs="Arial"/>
          <w:i/>
          <w:szCs w:val="24"/>
        </w:rPr>
      </w:pPr>
    </w:p>
    <w:p w:rsidR="00CB4B6B" w:rsidRPr="009525FE" w:rsidRDefault="00CB4B6B" w:rsidP="00B704BC">
      <w:pPr>
        <w:pStyle w:val="Tijeloteksta"/>
        <w:numPr>
          <w:ilvl w:val="0"/>
          <w:numId w:val="27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 w:rsidRPr="009525FE">
        <w:rPr>
          <w:rFonts w:ascii="Arial" w:hAnsi="Arial" w:cs="Arial"/>
          <w:i w:val="0"/>
          <w:szCs w:val="24"/>
        </w:rPr>
        <w:t>Povlačenje prijave mora biti dano u pisanom obliku i potpisano, a povjerljiva osoba nakon povlačenja donosi odluku kojom utvrđuje da je prijava povučena te je bez odgode dostavlja prijavitelju nepravilnosti.</w:t>
      </w:r>
    </w:p>
    <w:p w:rsidR="00CB4B6B" w:rsidRDefault="00CB4B6B" w:rsidP="00CB4B6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CB4B6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B4B6B" w:rsidRPr="005E7756" w:rsidRDefault="00CB4B6B" w:rsidP="00CB4B6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Poduzimanje nužnih mjera</w:t>
      </w:r>
    </w:p>
    <w:p w:rsidR="00CB4B6B" w:rsidRPr="005E7756" w:rsidRDefault="00CB4B6B" w:rsidP="00CB4B6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CB4B6B" w:rsidRPr="005E7756" w:rsidRDefault="00CB4B6B" w:rsidP="00CB4B6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17.</w:t>
      </w:r>
    </w:p>
    <w:p w:rsidR="00CB4B6B" w:rsidRDefault="00CB4B6B" w:rsidP="00CB4B6B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CB4B6B" w:rsidRDefault="00CB4B6B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Uz prethodni pristanak prijavitelja nepravilnosti povjerljiva osoba podatke iz prijave prosljeđuje općinskoj državnoj odvjetnici radi sadržajnog ispitivanja postojanja nepravilnosti te utvrđenja mogućnosti ispravka nepravilnosti.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Prijava iz stavka 1. ovog članka dostavlja se općinskoj državnoj odvjetnici uz uputu o dostavi povratne informacije u roku od 30 dana, vodeći računa o zaštiti identiteta prijavitelja nepravilnosti i podacima iz prijave.</w:t>
      </w:r>
    </w:p>
    <w:p w:rsidR="00B704BC" w:rsidRDefault="00B704BC" w:rsidP="007E29B3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B4B6B" w:rsidRDefault="00CB4B6B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 povjerljiva osoba nakon ispitivanja prijave nepravilnosti utvrdi da je prijavitelj nepravilnosti zbog podnesene prijave pretrpio štetnu radnju, odnosno da je stavljen u nepovoljan položaj, dužna je s ovom činjenicom te sa zakonskim odredbama o zaštiti prijavitelja nepravilnosti i odgovornosti u Općinskom državnom odvjetništvu u Čakovcu i odgovorne osobe upoznati osobu ovlaštenu za odlučivanje o pravima i obvezama iz radnog odnosa ili drugu odgovarajuću osobu ili tijelo ka</w:t>
      </w:r>
      <w:r w:rsidR="007178EE">
        <w:rPr>
          <w:rFonts w:ascii="Arial" w:hAnsi="Arial" w:cs="Arial"/>
          <w:i w:val="0"/>
          <w:szCs w:val="24"/>
        </w:rPr>
        <w:t>k</w:t>
      </w:r>
      <w:r>
        <w:rPr>
          <w:rFonts w:ascii="Arial" w:hAnsi="Arial" w:cs="Arial"/>
          <w:i w:val="0"/>
          <w:szCs w:val="24"/>
        </w:rPr>
        <w:t xml:space="preserve">o bi se </w:t>
      </w:r>
      <w:r>
        <w:rPr>
          <w:rFonts w:ascii="Arial" w:hAnsi="Arial" w:cs="Arial"/>
          <w:i w:val="0"/>
          <w:szCs w:val="24"/>
        </w:rPr>
        <w:lastRenderedPageBreak/>
        <w:t>zaustavile ili otklonile štetne posljedice prema prijavitelju nepravilnosti.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7178EE" w:rsidRDefault="007178EE" w:rsidP="00CB4B6B">
      <w:pPr>
        <w:pStyle w:val="Tijeloteksta"/>
        <w:numPr>
          <w:ilvl w:val="0"/>
          <w:numId w:val="28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Štetna radnja ili stavljanje u nepovoljniji položaj podrazumijeva osobito:</w:t>
      </w:r>
    </w:p>
    <w:p w:rsidR="007E29B3" w:rsidRDefault="007E29B3" w:rsidP="007E29B3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privremeno udaljavanje, otkazivanje državne službe, razrješenje ili jednakovrijedne mjere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nazadovanje ili uskraćivanje mogućnosti za napredovanje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prijenos dužnosti, promjenu mjesta rada, smanjenje plaće, promjenu radnog vremena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uskraćivanje mogućnosti za osposobljavanje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negativne ocjene rada ili preporuke za zapošljavanje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izricanje neosnovanih upozorenja zbog kršenja obveza iz radnog odnosa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prisilu, zastrašivanje, uznemiravanje ili izoliranje na radnom mjestu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diskriminaciju, stavljanje u nepovoljan položaj ili nepošteno postupanje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ne produljenje rješenja na određeno vrijeme ili njegov prijevremeni prestanak </w:t>
      </w:r>
    </w:p>
    <w:p w:rsidR="007178EE" w:rsidRDefault="007178EE" w:rsidP="007178EE">
      <w:pPr>
        <w:pStyle w:val="Tijeloteksta"/>
        <w:numPr>
          <w:ilvl w:val="0"/>
          <w:numId w:val="29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nanošenje štete i dr.</w:t>
      </w:r>
    </w:p>
    <w:p w:rsidR="00B704BC" w:rsidRDefault="00B704BC" w:rsidP="00B704BC">
      <w:pPr>
        <w:pStyle w:val="Tijeloteksta"/>
        <w:ind w:left="1080"/>
        <w:jc w:val="both"/>
        <w:rPr>
          <w:rFonts w:ascii="Arial" w:hAnsi="Arial" w:cs="Arial"/>
          <w:i w:val="0"/>
          <w:szCs w:val="24"/>
        </w:rPr>
      </w:pPr>
    </w:p>
    <w:p w:rsidR="007178EE" w:rsidRDefault="007178EE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Ispitivanje nepravilnosti kod općinske državne odvjetnice provodi se u roku od 60 dana od dana zaprimanja prijave u svrhu utvrđivanja nepravilnosti te mogućnosti njenog rješavanja.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7178EE" w:rsidRDefault="007178EE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Ako se utvrdi da nepravilnost ne postoji ili se ista ne može ispraviti, obavijest o zaprimljenoj prijavi, sa svim ostalim potrebnim podacima, prosljeđuje se tijelima nadležnim za postupanje prema sadržaju prijave.</w:t>
      </w:r>
    </w:p>
    <w:p w:rsidR="00B704BC" w:rsidRDefault="00B704BC" w:rsidP="007E29B3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7178EE" w:rsidRDefault="007E29B3" w:rsidP="00CD0349">
      <w:pPr>
        <w:pStyle w:val="Tijeloteksta"/>
        <w:numPr>
          <w:ilvl w:val="0"/>
          <w:numId w:val="28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O </w:t>
      </w:r>
      <w:r w:rsidR="007178EE">
        <w:rPr>
          <w:rFonts w:ascii="Arial" w:hAnsi="Arial" w:cs="Arial"/>
          <w:i w:val="0"/>
          <w:szCs w:val="24"/>
        </w:rPr>
        <w:t>podnesenoj prijavi nepravilnosti povjerljiva osoba obavještava pučkog pravobranitelja u roku 30 dana od proteka roka od 60 dana od zaprimanja prijave, s naznakom jesu li prava prijavitelja nepravilnosti bila ugrožena te kako su bila zaštićena.</w:t>
      </w:r>
    </w:p>
    <w:p w:rsidR="005E7756" w:rsidRDefault="005E7756" w:rsidP="007178EE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7E29B3" w:rsidRDefault="007E29B3" w:rsidP="007178EE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7178EE" w:rsidRPr="005E7756" w:rsidRDefault="007178EE" w:rsidP="007178EE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Nepravilnosti koje se odnose na proračunska sredstva ili fondove EU</w:t>
      </w:r>
    </w:p>
    <w:p w:rsidR="007178EE" w:rsidRPr="005E7756" w:rsidRDefault="007178EE" w:rsidP="007178EE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7178EE" w:rsidRPr="005E7756" w:rsidRDefault="007178EE" w:rsidP="007178EE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18.</w:t>
      </w:r>
    </w:p>
    <w:p w:rsidR="007178EE" w:rsidRDefault="007178EE" w:rsidP="007178EE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1A4EE2" w:rsidRDefault="007178EE" w:rsidP="001A4EE2">
      <w:pPr>
        <w:pStyle w:val="Tijeloteksta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:rsidR="007E29B3" w:rsidRDefault="007E29B3" w:rsidP="001A4EE2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C03491" w:rsidRDefault="00C03491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Poduzimanje mjera s obzirom na karakter nepravilnosti</w:t>
      </w: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19.</w:t>
      </w:r>
    </w:p>
    <w:p w:rsidR="001A4EE2" w:rsidRDefault="001A4EE2" w:rsidP="001A4EE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C03491" w:rsidRDefault="001A4EE2" w:rsidP="001A4EE2">
      <w:pPr>
        <w:pStyle w:val="Tijeloteksta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  <w:t>S obzirom na karakter utvrđenih nepravilnosti (sumnja na kazneno djelo, prekršaj ili druga vrsta nepravilnosti), povjerljiva osoba poduzima sljedeće mjere:</w:t>
      </w:r>
    </w:p>
    <w:p w:rsidR="00C03491" w:rsidRDefault="00C03491" w:rsidP="001A4EE2">
      <w:pPr>
        <w:pStyle w:val="Tijeloteksta"/>
        <w:rPr>
          <w:rFonts w:ascii="Arial" w:hAnsi="Arial" w:cs="Arial"/>
          <w:i w:val="0"/>
          <w:szCs w:val="24"/>
        </w:rPr>
      </w:pPr>
    </w:p>
    <w:p w:rsidR="001A4EE2" w:rsidRDefault="001A4EE2" w:rsidP="001A4EE2">
      <w:pPr>
        <w:pStyle w:val="Tijeloteksta"/>
        <w:numPr>
          <w:ilvl w:val="0"/>
          <w:numId w:val="25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utvrđenih nepravilnosti za koje postoji sumnja na kazneno djelo, predmet s dokazima u prilogu dostavlja na postupanje nadležnom državnom odvjetništvu</w:t>
      </w:r>
    </w:p>
    <w:p w:rsidR="001A4EE2" w:rsidRDefault="001A4EE2" w:rsidP="001A4EE2">
      <w:pPr>
        <w:pStyle w:val="Tijeloteksta"/>
        <w:numPr>
          <w:ilvl w:val="0"/>
          <w:numId w:val="25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utvrđenih nepravilnosti koje imaju obilježje prekršaja, obavještava se nadležno ministarstvo, inspektorat i sl.</w:t>
      </w:r>
    </w:p>
    <w:p w:rsidR="001A4EE2" w:rsidRDefault="001A4EE2" w:rsidP="001A4EE2">
      <w:pPr>
        <w:pStyle w:val="Tijeloteksta"/>
        <w:numPr>
          <w:ilvl w:val="0"/>
          <w:numId w:val="25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utvrđenih nepravilnosti za koje nisu propisane kazne, nalaže mjere za otklanjanje nepravilnosti.</w:t>
      </w:r>
    </w:p>
    <w:p w:rsidR="001A4EE2" w:rsidRDefault="001A4EE2" w:rsidP="001A4EE2">
      <w:pPr>
        <w:pStyle w:val="Tijeloteksta"/>
        <w:rPr>
          <w:rFonts w:ascii="Arial" w:hAnsi="Arial" w:cs="Arial"/>
          <w:i w:val="0"/>
          <w:szCs w:val="24"/>
        </w:rPr>
      </w:pPr>
    </w:p>
    <w:p w:rsidR="005E7756" w:rsidRDefault="005E7756" w:rsidP="001A4EE2">
      <w:pPr>
        <w:pStyle w:val="Tijeloteksta"/>
        <w:rPr>
          <w:rFonts w:ascii="Arial" w:hAnsi="Arial" w:cs="Arial"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 xml:space="preserve">Poduzimanje mjera u svezi s proračunskim sredstvima </w:t>
      </w: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ili sredstvima fondova EU</w:t>
      </w: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20.</w:t>
      </w:r>
    </w:p>
    <w:p w:rsidR="001A4EE2" w:rsidRDefault="001A4EE2" w:rsidP="001A4EE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1A4EE2" w:rsidRDefault="001A4EE2" w:rsidP="001A4EE2">
      <w:pPr>
        <w:pStyle w:val="Tijeloteksta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  <w:t>U slučaju da su utvrđene nepravilnosti u svezi s postupanjem s proračunskim sredstvima ili sredstvima fondova EU, osim na način naveden u ostalim odredbama ovoga Pravilnika, postupa se na sljedeći način:</w:t>
      </w:r>
    </w:p>
    <w:p w:rsidR="001A4EE2" w:rsidRDefault="001A4EE2" w:rsidP="001A4EE2">
      <w:pPr>
        <w:pStyle w:val="Tijeloteksta"/>
        <w:numPr>
          <w:ilvl w:val="0"/>
          <w:numId w:val="25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 prijavljenim odnosno uočenim nepravilnostima izvješćuje se osobu za nepravilnosti u nadležnom ministarstvu</w:t>
      </w:r>
    </w:p>
    <w:p w:rsidR="001A4EE2" w:rsidRDefault="001A4EE2" w:rsidP="001A4EE2">
      <w:pPr>
        <w:pStyle w:val="Tijeloteksta"/>
        <w:numPr>
          <w:ilvl w:val="0"/>
          <w:numId w:val="25"/>
        </w:num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obavještava se tijelo nadležno za nadzor kontrole korištenja sredstava fondova EU</w:t>
      </w:r>
    </w:p>
    <w:p w:rsidR="001A4EE2" w:rsidRDefault="001A4EE2" w:rsidP="001A4EE2">
      <w:pPr>
        <w:pStyle w:val="Tijeloteksta"/>
        <w:numPr>
          <w:ilvl w:val="0"/>
          <w:numId w:val="25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predmet s dokazima u prilogu dostavlja se na postupanje nadležnoj ustrojstvenoj jedinici u Ministarstvu financija u čijem je djelokrugu proračunski nadzor.</w:t>
      </w:r>
    </w:p>
    <w:p w:rsidR="001A4EE2" w:rsidRDefault="001A4EE2" w:rsidP="001A4EE2">
      <w:pPr>
        <w:pStyle w:val="Tijeloteksta"/>
        <w:rPr>
          <w:rFonts w:ascii="Arial" w:hAnsi="Arial" w:cs="Arial"/>
          <w:i w:val="0"/>
          <w:szCs w:val="24"/>
        </w:rPr>
      </w:pPr>
    </w:p>
    <w:p w:rsidR="007E29B3" w:rsidRDefault="007E29B3" w:rsidP="001A4EE2">
      <w:pPr>
        <w:pStyle w:val="Tijeloteksta"/>
        <w:rPr>
          <w:rFonts w:ascii="Arial" w:hAnsi="Arial" w:cs="Arial"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Čuvanje podataka o prijavitelju</w:t>
      </w: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21.</w:t>
      </w:r>
    </w:p>
    <w:p w:rsidR="001A4EE2" w:rsidRDefault="001A4EE2" w:rsidP="001A4EE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1A4EE2" w:rsidRDefault="001A4EE2" w:rsidP="00CD0349">
      <w:pPr>
        <w:pStyle w:val="Tijeloteksta"/>
        <w:numPr>
          <w:ilvl w:val="0"/>
          <w:numId w:val="30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treba zaštiti osobu koja joj je dala prijavu i čuvati podatke o toj osobi.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1A4EE2" w:rsidRDefault="001A4EE2" w:rsidP="00CD0349">
      <w:pPr>
        <w:pStyle w:val="Tijeloteksta"/>
        <w:numPr>
          <w:ilvl w:val="0"/>
          <w:numId w:val="30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Odavanje podataka o prijavitelju bez pristanka te osobe odnosno bez izričite zakonske obveze u službenom vanjskom postupku od povjerljive osobe, predstavlja teško kršenje ugovornih obveza.</w:t>
      </w:r>
    </w:p>
    <w:p w:rsidR="005E7756" w:rsidRDefault="005E7756" w:rsidP="00B0034F">
      <w:pPr>
        <w:pStyle w:val="Tijeloteksta"/>
        <w:rPr>
          <w:rFonts w:ascii="Arial" w:hAnsi="Arial" w:cs="Arial"/>
          <w:i w:val="0"/>
          <w:szCs w:val="24"/>
        </w:rPr>
      </w:pPr>
    </w:p>
    <w:p w:rsidR="007E29B3" w:rsidRDefault="007E29B3" w:rsidP="001A4EE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Zaštita povjerljive osobe</w:t>
      </w: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1A4EE2" w:rsidRPr="005E7756" w:rsidRDefault="001A4EE2" w:rsidP="001A4EE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22.</w:t>
      </w:r>
    </w:p>
    <w:p w:rsidR="001A4EE2" w:rsidRDefault="001A4EE2" w:rsidP="001A4EE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1A4EE2" w:rsidRDefault="001A4EE2" w:rsidP="00CD0349">
      <w:pPr>
        <w:pStyle w:val="Tijeloteksta"/>
        <w:numPr>
          <w:ilvl w:val="0"/>
          <w:numId w:val="31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Svako djelovanje protiv povjerljive osobe s ciljem njezina onemogućavanja i sprječavanja u djelovanju kao povjerljive osobe, predstav</w:t>
      </w:r>
      <w:r w:rsidR="003B7C06">
        <w:rPr>
          <w:rFonts w:ascii="Arial" w:hAnsi="Arial" w:cs="Arial"/>
          <w:i w:val="0"/>
          <w:szCs w:val="24"/>
        </w:rPr>
        <w:t>lj</w:t>
      </w:r>
      <w:r>
        <w:rPr>
          <w:rFonts w:ascii="Arial" w:hAnsi="Arial" w:cs="Arial"/>
          <w:i w:val="0"/>
          <w:szCs w:val="24"/>
        </w:rPr>
        <w:t>a teško kršenje službene dužnosti.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1A4EE2" w:rsidRDefault="001A4EE2" w:rsidP="00CD0349">
      <w:pPr>
        <w:pStyle w:val="Tijeloteksta"/>
        <w:numPr>
          <w:ilvl w:val="0"/>
          <w:numId w:val="31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lastRenderedPageBreak/>
        <w:t>Na postupanje po opravdanoj prijavi</w:t>
      </w:r>
      <w:r w:rsidR="0064719B">
        <w:rPr>
          <w:rFonts w:ascii="Arial" w:hAnsi="Arial" w:cs="Arial"/>
          <w:i w:val="0"/>
          <w:szCs w:val="24"/>
        </w:rPr>
        <w:t xml:space="preserve"> povjerljive osobe odnosno izbjegavanje postupanja, zataškavanje, uništavanje dokaza i sl. predstavlja tešku povredu službene dužnosti.</w:t>
      </w:r>
    </w:p>
    <w:p w:rsidR="0064719B" w:rsidRDefault="0064719B" w:rsidP="0064719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64719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Način primanja prijava od povjerljive osobe</w:t>
      </w: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23.</w:t>
      </w:r>
    </w:p>
    <w:p w:rsidR="0064719B" w:rsidRDefault="0064719B" w:rsidP="0064719B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64719B" w:rsidRDefault="0064719B" w:rsidP="00CD0349">
      <w:pPr>
        <w:pStyle w:val="Tijeloteksta"/>
        <w:numPr>
          <w:ilvl w:val="0"/>
          <w:numId w:val="32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nepravilnosti prima u pisanom obliku, putem pošte, u elektroničkom obliku ili usmeno na zapisnik. Prijava nepravilnosti podnesena pisanim putem ili usmeno na zapisnik mora biti potpisana.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64719B" w:rsidRDefault="0064719B" w:rsidP="00CD0349">
      <w:pPr>
        <w:pStyle w:val="Tijeloteksta"/>
        <w:numPr>
          <w:ilvl w:val="0"/>
          <w:numId w:val="32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Povjerljiva osoba mora imati svoju sobu ili slično mjesto gdje u prostorno i tehnički primjerenim uvjetima može primati prijavitelja i obaviti razgovor s prijaviteljem te zaprimiti prijavu poštujući zakonsku obvezu zaštite identiteta prijavitelja.</w:t>
      </w:r>
    </w:p>
    <w:p w:rsidR="0064719B" w:rsidRDefault="0064719B" w:rsidP="0064719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64719B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Zaštita prijavitelja</w:t>
      </w: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64719B" w:rsidRPr="005E7756" w:rsidRDefault="0064719B" w:rsidP="0064719B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24.</w:t>
      </w:r>
    </w:p>
    <w:p w:rsidR="0064719B" w:rsidRDefault="0064719B" w:rsidP="0064719B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64719B" w:rsidRDefault="0064719B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Svako djelovanje</w:t>
      </w:r>
      <w:r w:rsidR="003064B4">
        <w:rPr>
          <w:rFonts w:ascii="Arial" w:hAnsi="Arial" w:cs="Arial"/>
          <w:i w:val="0"/>
          <w:szCs w:val="24"/>
        </w:rPr>
        <w:t xml:space="preserve"> protiv prijavitelja s ciljem da se onemogući u prijavi i davanju dokaza i sl. ili s ciljem da ga se kazni, omete, uznemirava zbog prijave, predstavlja</w:t>
      </w:r>
      <w:r w:rsidR="004A005B">
        <w:rPr>
          <w:rFonts w:ascii="Arial" w:hAnsi="Arial" w:cs="Arial"/>
          <w:i w:val="0"/>
          <w:szCs w:val="24"/>
        </w:rPr>
        <w:t xml:space="preserve"> težu povredu službene dužnosti.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4A005B" w:rsidRDefault="004A005B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U slučaju postupanja protiv prijavitelja na način iz stavka 1. ovoga članka, općinska državna odvjetnica će zaposlenika zaštiti otkazujući rješenja o prijmu u državnu službu i rasporedu na radno mjesto zaposlenicima koji prijavitelja sprječavaju, kažnjavaju, uznemiravaju, ili će ih premjestiti na drugo mjesto rada, a samog prijavitelja premjestiti na drugo mjesto rada samo ako on to izričito traži.</w:t>
      </w:r>
    </w:p>
    <w:p w:rsidR="00B704BC" w:rsidRDefault="00B704BC" w:rsidP="00A847DC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34000E" w:rsidRDefault="0034000E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Na obradu osobnih podataka sadržanih u prijavi nepravilnosti primjenjuju se propisi kojima se uređuje zaštita osobnih podataka.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34000E" w:rsidRDefault="0034000E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Podacima iz prijave nepravilnosti pohranjenima u sustavu općinskog državnog odvjetništva u Čakovcu može pristupiti samo povjerljiva osoba putem korisničkog imena i lozinke za pristup predmetima za koje je zadužena.</w:t>
      </w:r>
    </w:p>
    <w:p w:rsidR="00B704BC" w:rsidRDefault="00B704BC" w:rsidP="00A847DC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34000E" w:rsidRDefault="0034000E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Dokumentacija vezana uz postupak po prijavama nepravilnosti</w:t>
      </w:r>
      <w:r w:rsidR="00B32412">
        <w:rPr>
          <w:rFonts w:ascii="Arial" w:hAnsi="Arial" w:cs="Arial"/>
          <w:i w:val="0"/>
          <w:szCs w:val="24"/>
        </w:rPr>
        <w:t xml:space="preserve"> pohranjuje se u prostore za pohranu osigurane od neovlaštenog pristupa.</w:t>
      </w:r>
    </w:p>
    <w:p w:rsidR="00B704BC" w:rsidRDefault="00B704BC" w:rsidP="00B704BC">
      <w:pPr>
        <w:pStyle w:val="Tijeloteksta"/>
        <w:ind w:left="720"/>
        <w:jc w:val="both"/>
        <w:rPr>
          <w:rFonts w:ascii="Arial" w:hAnsi="Arial" w:cs="Arial"/>
          <w:i w:val="0"/>
          <w:szCs w:val="24"/>
        </w:rPr>
      </w:pPr>
    </w:p>
    <w:p w:rsidR="00B32412" w:rsidRDefault="00B32412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Osobni podaci sadržani u dokumentaciji iz postupka prijave nepravilnosti čuvaju se najdulje pet godina od zaprimanja prijave nepravilnosti, odnosno do okončanja sudskog postupka za zaštitu prijavitelja nepravilnosti.</w:t>
      </w:r>
    </w:p>
    <w:p w:rsidR="00B704BC" w:rsidRDefault="00B704BC" w:rsidP="00A847DC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B32412" w:rsidRDefault="00B32412" w:rsidP="00CD0349">
      <w:pPr>
        <w:pStyle w:val="Tijeloteksta"/>
        <w:numPr>
          <w:ilvl w:val="0"/>
          <w:numId w:val="33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Osobni podaci koji nisu relevantni za rješavanje određenog predmeta bez </w:t>
      </w:r>
      <w:r>
        <w:rPr>
          <w:rFonts w:ascii="Arial" w:hAnsi="Arial" w:cs="Arial"/>
          <w:i w:val="0"/>
          <w:szCs w:val="24"/>
        </w:rPr>
        <w:lastRenderedPageBreak/>
        <w:t>odlaganja se brišu.</w:t>
      </w:r>
    </w:p>
    <w:p w:rsidR="00B32412" w:rsidRDefault="00B32412" w:rsidP="00B32412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5E7756" w:rsidRDefault="005E7756" w:rsidP="00B32412">
      <w:pPr>
        <w:pStyle w:val="Tijeloteksta"/>
        <w:jc w:val="both"/>
        <w:rPr>
          <w:rFonts w:ascii="Arial" w:hAnsi="Arial" w:cs="Arial"/>
          <w:i w:val="0"/>
          <w:szCs w:val="24"/>
        </w:rPr>
      </w:pPr>
    </w:p>
    <w:p w:rsidR="00B32412" w:rsidRPr="005E7756" w:rsidRDefault="00B32412" w:rsidP="00B3241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Objava i dostava Pravilnika</w:t>
      </w:r>
    </w:p>
    <w:p w:rsidR="00B32412" w:rsidRPr="005E7756" w:rsidRDefault="00B32412" w:rsidP="00B3241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</w:p>
    <w:p w:rsidR="00B32412" w:rsidRPr="005E7756" w:rsidRDefault="00B32412" w:rsidP="00B32412">
      <w:pPr>
        <w:pStyle w:val="Tijeloteksta"/>
        <w:jc w:val="center"/>
        <w:rPr>
          <w:rFonts w:ascii="Arial" w:hAnsi="Arial" w:cs="Arial"/>
          <w:b/>
          <w:i w:val="0"/>
          <w:szCs w:val="24"/>
        </w:rPr>
      </w:pPr>
      <w:r w:rsidRPr="005E7756">
        <w:rPr>
          <w:rFonts w:ascii="Arial" w:hAnsi="Arial" w:cs="Arial"/>
          <w:b/>
          <w:i w:val="0"/>
          <w:szCs w:val="24"/>
        </w:rPr>
        <w:t>Članak 25.</w:t>
      </w:r>
    </w:p>
    <w:p w:rsidR="00B32412" w:rsidRDefault="00B32412" w:rsidP="00B3241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5E7756" w:rsidRDefault="005E7756" w:rsidP="00B32412">
      <w:pPr>
        <w:pStyle w:val="Tijeloteksta"/>
        <w:jc w:val="center"/>
        <w:rPr>
          <w:rFonts w:ascii="Arial" w:hAnsi="Arial" w:cs="Arial"/>
          <w:i w:val="0"/>
          <w:szCs w:val="24"/>
        </w:rPr>
      </w:pPr>
    </w:p>
    <w:p w:rsidR="00B32412" w:rsidRDefault="00A617BE" w:rsidP="00A617BE">
      <w:pPr>
        <w:pStyle w:val="Tijeloteksta"/>
        <w:numPr>
          <w:ilvl w:val="0"/>
          <w:numId w:val="34"/>
        </w:numPr>
        <w:ind w:left="426" w:hanging="66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</w:t>
      </w:r>
      <w:r w:rsidR="00B32412">
        <w:rPr>
          <w:rFonts w:ascii="Arial" w:hAnsi="Arial" w:cs="Arial"/>
          <w:i w:val="0"/>
          <w:szCs w:val="24"/>
        </w:rPr>
        <w:t xml:space="preserve">vaj Pravilnik </w:t>
      </w:r>
      <w:r>
        <w:rPr>
          <w:rFonts w:ascii="Arial" w:hAnsi="Arial" w:cs="Arial"/>
          <w:i w:val="0"/>
          <w:szCs w:val="24"/>
        </w:rPr>
        <w:t>objaviti</w:t>
      </w:r>
      <w:r w:rsidR="00B32412">
        <w:rPr>
          <w:rFonts w:ascii="Arial" w:hAnsi="Arial" w:cs="Arial"/>
          <w:i w:val="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 xml:space="preserve">će se </w:t>
      </w:r>
      <w:r w:rsidR="00B32412">
        <w:rPr>
          <w:rFonts w:ascii="Arial" w:hAnsi="Arial" w:cs="Arial"/>
          <w:i w:val="0"/>
          <w:szCs w:val="24"/>
        </w:rPr>
        <w:t xml:space="preserve">na </w:t>
      </w:r>
      <w:r>
        <w:rPr>
          <w:rFonts w:ascii="Arial" w:hAnsi="Arial" w:cs="Arial"/>
          <w:i w:val="0"/>
          <w:szCs w:val="24"/>
        </w:rPr>
        <w:t>mrežnim stranicama</w:t>
      </w:r>
      <w:r w:rsidR="00B32412">
        <w:rPr>
          <w:rFonts w:ascii="Arial" w:hAnsi="Arial" w:cs="Arial"/>
          <w:i w:val="0"/>
          <w:szCs w:val="24"/>
        </w:rPr>
        <w:t xml:space="preserve"> Državnog odvjetništva Republike Hrvatske, </w:t>
      </w:r>
      <w:hyperlink r:id="rId9" w:history="1">
        <w:r w:rsidR="00B32412" w:rsidRPr="003B7C06">
          <w:rPr>
            <w:rStyle w:val="Hiperveza"/>
            <w:rFonts w:ascii="Arial" w:hAnsi="Arial" w:cs="Arial"/>
            <w:i w:val="0"/>
            <w:color w:val="auto"/>
            <w:szCs w:val="24"/>
            <w:u w:val="none"/>
          </w:rPr>
          <w:t>www.dorh.hr</w:t>
        </w:r>
      </w:hyperlink>
      <w:r w:rsidR="00B32412">
        <w:rPr>
          <w:rFonts w:ascii="Arial" w:hAnsi="Arial" w:cs="Arial"/>
          <w:i w:val="0"/>
          <w:szCs w:val="24"/>
        </w:rPr>
        <w:t>, pod</w:t>
      </w:r>
      <w:r>
        <w:rPr>
          <w:rFonts w:ascii="Arial" w:hAnsi="Arial" w:cs="Arial"/>
          <w:i w:val="0"/>
          <w:szCs w:val="24"/>
        </w:rPr>
        <w:t>stranici</w:t>
      </w:r>
      <w:r w:rsidR="00B32412">
        <w:rPr>
          <w:rFonts w:ascii="Arial" w:hAnsi="Arial" w:cs="Arial"/>
          <w:i w:val="0"/>
          <w:szCs w:val="24"/>
        </w:rPr>
        <w:t xml:space="preserve"> Županijskog državnog odvjetništva u Varaždinu i dostaviti svakom pojedinom zaposleniku putem službene e-mail adrese</w:t>
      </w:r>
      <w:r w:rsidR="005607A3">
        <w:rPr>
          <w:rFonts w:ascii="Arial" w:hAnsi="Arial" w:cs="Arial"/>
          <w:i w:val="0"/>
          <w:szCs w:val="24"/>
        </w:rPr>
        <w:t>.</w:t>
      </w:r>
    </w:p>
    <w:p w:rsidR="00B704BC" w:rsidRDefault="00B704BC" w:rsidP="00B704BC">
      <w:pPr>
        <w:pStyle w:val="Tijeloteksta"/>
        <w:ind w:left="720"/>
        <w:rPr>
          <w:rFonts w:ascii="Arial" w:hAnsi="Arial" w:cs="Arial"/>
          <w:i w:val="0"/>
          <w:szCs w:val="24"/>
        </w:rPr>
      </w:pPr>
    </w:p>
    <w:p w:rsidR="005607A3" w:rsidRDefault="005607A3" w:rsidP="00B32412">
      <w:pPr>
        <w:pStyle w:val="Tijeloteksta"/>
        <w:numPr>
          <w:ilvl w:val="0"/>
          <w:numId w:val="34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Ovaj Pravilnik stupa na snagu danom donošenja.</w:t>
      </w:r>
    </w:p>
    <w:p w:rsidR="00C95D08" w:rsidRPr="009C0D26" w:rsidRDefault="00C95D08" w:rsidP="003A0DC6">
      <w:pPr>
        <w:pStyle w:val="Tijeloteksta"/>
        <w:rPr>
          <w:rFonts w:ascii="Arial" w:hAnsi="Arial" w:cs="Arial"/>
          <w:szCs w:val="24"/>
        </w:rPr>
      </w:pPr>
    </w:p>
    <w:p w:rsidR="00924221" w:rsidRDefault="00924221" w:rsidP="003A0DC6">
      <w:pPr>
        <w:pStyle w:val="Tijeloteksta"/>
        <w:rPr>
          <w:rFonts w:ascii="Arial" w:hAnsi="Arial" w:cs="Arial"/>
          <w:szCs w:val="24"/>
        </w:rPr>
      </w:pPr>
    </w:p>
    <w:p w:rsidR="005E7756" w:rsidRPr="009C0D26" w:rsidRDefault="005E7756" w:rsidP="003A0DC6">
      <w:pPr>
        <w:pStyle w:val="Tijeloteksta"/>
        <w:rPr>
          <w:rFonts w:ascii="Arial" w:hAnsi="Arial" w:cs="Arial"/>
          <w:szCs w:val="24"/>
        </w:rPr>
      </w:pPr>
    </w:p>
    <w:p w:rsidR="009C0D26" w:rsidRDefault="004132B8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>OPĆINSKA DRŽAVNA ODVJETNICA</w:t>
      </w:r>
    </w:p>
    <w:p w:rsidR="00C95D08" w:rsidRPr="009C0D26" w:rsidRDefault="009C0D26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Maja Jurinec Turk     </w:t>
      </w:r>
      <w:r w:rsidR="00C95D0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                     </w:t>
      </w:r>
    </w:p>
    <w:p w:rsidR="00C95D08" w:rsidRPr="009C0D26" w:rsidRDefault="00C95D08" w:rsidP="003A0DC6">
      <w:pPr>
        <w:ind w:left="3540" w:firstLine="708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1A48CC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  <w:r w:rsidR="007D6FF6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</w:p>
    <w:p w:rsidR="00C95D08" w:rsidRPr="009C0D26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95D08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Pr="009C0D26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CE4D7B">
        <w:rPr>
          <w:rFonts w:ascii="Arial" w:hAnsi="Arial" w:cs="Arial"/>
          <w:b/>
          <w:snapToGrid w:val="0"/>
          <w:sz w:val="24"/>
          <w:szCs w:val="24"/>
          <w:lang w:eastAsia="en-US"/>
        </w:rPr>
        <w:object w:dxaOrig="9026" w:dyaOrig="13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57.75pt" o:ole="">
            <v:imagedata r:id="rId10" o:title=""/>
          </v:shape>
          <o:OLEObject Type="Embed" ProgID="Word.Document.12" ShapeID="_x0000_i1025" DrawAspect="Content" ObjectID="_1717233153" r:id="rId11">
            <o:FieldCodes>\s</o:FieldCodes>
          </o:OLEObject>
        </w:object>
      </w:r>
    </w:p>
    <w:sectPr w:rsidR="00CE4D7B" w:rsidRPr="009C0D26" w:rsidSect="00295DB2">
      <w:headerReference w:type="even" r:id="rId12"/>
      <w:headerReference w:type="default" r:id="rId13"/>
      <w:pgSz w:w="12240" w:h="15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C2" w:rsidRDefault="009D1FC2">
      <w:r>
        <w:separator/>
      </w:r>
    </w:p>
  </w:endnote>
  <w:endnote w:type="continuationSeparator" w:id="0">
    <w:p w:rsidR="009D1FC2" w:rsidRDefault="009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C2" w:rsidRDefault="009D1FC2">
      <w:r>
        <w:separator/>
      </w:r>
    </w:p>
  </w:footnote>
  <w:footnote w:type="continuationSeparator" w:id="0">
    <w:p w:rsidR="009D1FC2" w:rsidRDefault="009D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E9" w:rsidRDefault="00FB5BE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57CF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FB5BE9" w:rsidRDefault="00FB5BE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5668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95DB2" w:rsidRPr="00295DB2" w:rsidRDefault="00295DB2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295DB2">
          <w:rPr>
            <w:rFonts w:ascii="Arial" w:hAnsi="Arial" w:cs="Arial"/>
            <w:sz w:val="24"/>
            <w:szCs w:val="24"/>
          </w:rPr>
          <w:fldChar w:fldCharType="begin"/>
        </w:r>
        <w:r w:rsidRPr="00295DB2">
          <w:rPr>
            <w:rFonts w:ascii="Arial" w:hAnsi="Arial" w:cs="Arial"/>
            <w:sz w:val="24"/>
            <w:szCs w:val="24"/>
          </w:rPr>
          <w:instrText>PAGE   \* MERGEFORMAT</w:instrText>
        </w:r>
        <w:r w:rsidRPr="00295DB2">
          <w:rPr>
            <w:rFonts w:ascii="Arial" w:hAnsi="Arial" w:cs="Arial"/>
            <w:sz w:val="24"/>
            <w:szCs w:val="24"/>
          </w:rPr>
          <w:fldChar w:fldCharType="separate"/>
        </w:r>
        <w:r w:rsidR="00AC5641">
          <w:rPr>
            <w:rFonts w:ascii="Arial" w:hAnsi="Arial" w:cs="Arial"/>
            <w:noProof/>
            <w:sz w:val="24"/>
            <w:szCs w:val="24"/>
          </w:rPr>
          <w:t>4</w:t>
        </w:r>
        <w:r w:rsidRPr="00295DB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B5BE9" w:rsidRDefault="00FB5BE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6"/>
    <w:multiLevelType w:val="hybridMultilevel"/>
    <w:tmpl w:val="7590A142"/>
    <w:lvl w:ilvl="0" w:tplc="134E1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73CB1"/>
    <w:multiLevelType w:val="hybridMultilevel"/>
    <w:tmpl w:val="F4D67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A04"/>
    <w:multiLevelType w:val="hybridMultilevel"/>
    <w:tmpl w:val="F6548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75"/>
    <w:multiLevelType w:val="hybridMultilevel"/>
    <w:tmpl w:val="CFFA5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C1E"/>
    <w:multiLevelType w:val="hybridMultilevel"/>
    <w:tmpl w:val="BF6E9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2A82"/>
    <w:multiLevelType w:val="hybridMultilevel"/>
    <w:tmpl w:val="526C8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F7C"/>
    <w:multiLevelType w:val="hybridMultilevel"/>
    <w:tmpl w:val="D360B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27E8"/>
    <w:multiLevelType w:val="hybridMultilevel"/>
    <w:tmpl w:val="6E9E1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441E"/>
    <w:multiLevelType w:val="hybridMultilevel"/>
    <w:tmpl w:val="69E2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60BC"/>
    <w:multiLevelType w:val="hybridMultilevel"/>
    <w:tmpl w:val="CB786B9A"/>
    <w:lvl w:ilvl="0" w:tplc="008E8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A56F2"/>
    <w:multiLevelType w:val="hybridMultilevel"/>
    <w:tmpl w:val="154E9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454"/>
    <w:multiLevelType w:val="hybridMultilevel"/>
    <w:tmpl w:val="3D8CA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1A"/>
    <w:multiLevelType w:val="hybridMultilevel"/>
    <w:tmpl w:val="CAE0A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5C7B"/>
    <w:multiLevelType w:val="hybridMultilevel"/>
    <w:tmpl w:val="66B49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115FE"/>
    <w:multiLevelType w:val="hybridMultilevel"/>
    <w:tmpl w:val="6FD84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F4834"/>
    <w:multiLevelType w:val="hybridMultilevel"/>
    <w:tmpl w:val="DE96C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BB4"/>
    <w:multiLevelType w:val="hybridMultilevel"/>
    <w:tmpl w:val="713C7126"/>
    <w:lvl w:ilvl="0" w:tplc="639240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73122B9"/>
    <w:multiLevelType w:val="multilevel"/>
    <w:tmpl w:val="EBC0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E946AD3"/>
    <w:multiLevelType w:val="hybridMultilevel"/>
    <w:tmpl w:val="46D2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19FB"/>
    <w:multiLevelType w:val="hybridMultilevel"/>
    <w:tmpl w:val="F8FEE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C1BE4"/>
    <w:multiLevelType w:val="hybridMultilevel"/>
    <w:tmpl w:val="9F7A783E"/>
    <w:lvl w:ilvl="0" w:tplc="810A025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F0960"/>
    <w:multiLevelType w:val="hybridMultilevel"/>
    <w:tmpl w:val="D9DA13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47F56"/>
    <w:multiLevelType w:val="hybridMultilevel"/>
    <w:tmpl w:val="3D7C1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91851"/>
    <w:multiLevelType w:val="hybridMultilevel"/>
    <w:tmpl w:val="61A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97A31"/>
    <w:multiLevelType w:val="hybridMultilevel"/>
    <w:tmpl w:val="6B46B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95D5B"/>
    <w:multiLevelType w:val="hybridMultilevel"/>
    <w:tmpl w:val="AB845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03D1"/>
    <w:multiLevelType w:val="hybridMultilevel"/>
    <w:tmpl w:val="02D64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9538B"/>
    <w:multiLevelType w:val="hybridMultilevel"/>
    <w:tmpl w:val="D0AC0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97CE6"/>
    <w:multiLevelType w:val="hybridMultilevel"/>
    <w:tmpl w:val="560C8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47109"/>
    <w:multiLevelType w:val="hybridMultilevel"/>
    <w:tmpl w:val="2A101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5596B"/>
    <w:multiLevelType w:val="hybridMultilevel"/>
    <w:tmpl w:val="602AC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57BE6"/>
    <w:multiLevelType w:val="hybridMultilevel"/>
    <w:tmpl w:val="5052E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22E55"/>
    <w:multiLevelType w:val="hybridMultilevel"/>
    <w:tmpl w:val="C60C5E6C"/>
    <w:lvl w:ilvl="0" w:tplc="AEE89DC2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A0E5D"/>
    <w:multiLevelType w:val="hybridMultilevel"/>
    <w:tmpl w:val="FA345E38"/>
    <w:lvl w:ilvl="0" w:tplc="893896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15"/>
  </w:num>
  <w:num w:numId="11">
    <w:abstractNumId w:val="1"/>
  </w:num>
  <w:num w:numId="12">
    <w:abstractNumId w:val="30"/>
  </w:num>
  <w:num w:numId="13">
    <w:abstractNumId w:val="26"/>
  </w:num>
  <w:num w:numId="14">
    <w:abstractNumId w:val="7"/>
  </w:num>
  <w:num w:numId="15">
    <w:abstractNumId w:val="24"/>
  </w:num>
  <w:num w:numId="16">
    <w:abstractNumId w:val="25"/>
  </w:num>
  <w:num w:numId="17">
    <w:abstractNumId w:val="14"/>
  </w:num>
  <w:num w:numId="18">
    <w:abstractNumId w:val="19"/>
  </w:num>
  <w:num w:numId="19">
    <w:abstractNumId w:val="31"/>
  </w:num>
  <w:num w:numId="20">
    <w:abstractNumId w:val="5"/>
  </w:num>
  <w:num w:numId="21">
    <w:abstractNumId w:val="18"/>
  </w:num>
  <w:num w:numId="22">
    <w:abstractNumId w:val="10"/>
  </w:num>
  <w:num w:numId="23">
    <w:abstractNumId w:val="11"/>
  </w:num>
  <w:num w:numId="24">
    <w:abstractNumId w:val="3"/>
  </w:num>
  <w:num w:numId="25">
    <w:abstractNumId w:val="33"/>
  </w:num>
  <w:num w:numId="26">
    <w:abstractNumId w:val="4"/>
  </w:num>
  <w:num w:numId="27">
    <w:abstractNumId w:val="17"/>
  </w:num>
  <w:num w:numId="28">
    <w:abstractNumId w:val="6"/>
  </w:num>
  <w:num w:numId="29">
    <w:abstractNumId w:val="9"/>
  </w:num>
  <w:num w:numId="30">
    <w:abstractNumId w:val="27"/>
  </w:num>
  <w:num w:numId="31">
    <w:abstractNumId w:val="28"/>
  </w:num>
  <w:num w:numId="32">
    <w:abstractNumId w:val="8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0547E"/>
    <w:rsid w:val="000059D2"/>
    <w:rsid w:val="00016611"/>
    <w:rsid w:val="00017252"/>
    <w:rsid w:val="00023F3E"/>
    <w:rsid w:val="00025A96"/>
    <w:rsid w:val="00026826"/>
    <w:rsid w:val="00026CFF"/>
    <w:rsid w:val="000271E1"/>
    <w:rsid w:val="00031B41"/>
    <w:rsid w:val="00032897"/>
    <w:rsid w:val="00033979"/>
    <w:rsid w:val="00040064"/>
    <w:rsid w:val="000440A9"/>
    <w:rsid w:val="00044417"/>
    <w:rsid w:val="000446E2"/>
    <w:rsid w:val="00045DFA"/>
    <w:rsid w:val="00046106"/>
    <w:rsid w:val="00053576"/>
    <w:rsid w:val="00054263"/>
    <w:rsid w:val="0005467B"/>
    <w:rsid w:val="00056089"/>
    <w:rsid w:val="00062663"/>
    <w:rsid w:val="00063F4B"/>
    <w:rsid w:val="00065B57"/>
    <w:rsid w:val="00065E04"/>
    <w:rsid w:val="0006765E"/>
    <w:rsid w:val="00070ACD"/>
    <w:rsid w:val="00071892"/>
    <w:rsid w:val="00073C1F"/>
    <w:rsid w:val="000754F9"/>
    <w:rsid w:val="0009058F"/>
    <w:rsid w:val="00092CF9"/>
    <w:rsid w:val="00093ECF"/>
    <w:rsid w:val="00094F93"/>
    <w:rsid w:val="00095550"/>
    <w:rsid w:val="00095AC1"/>
    <w:rsid w:val="000A0DA9"/>
    <w:rsid w:val="000A1405"/>
    <w:rsid w:val="000A35AA"/>
    <w:rsid w:val="000A478D"/>
    <w:rsid w:val="000B1576"/>
    <w:rsid w:val="000B299D"/>
    <w:rsid w:val="000B77AC"/>
    <w:rsid w:val="000B7FA7"/>
    <w:rsid w:val="000C47B7"/>
    <w:rsid w:val="000C4C6D"/>
    <w:rsid w:val="000C505D"/>
    <w:rsid w:val="000C70AE"/>
    <w:rsid w:val="000C7568"/>
    <w:rsid w:val="000D093F"/>
    <w:rsid w:val="000D29AB"/>
    <w:rsid w:val="000D31B9"/>
    <w:rsid w:val="000D70A6"/>
    <w:rsid w:val="000E490A"/>
    <w:rsid w:val="000E4E62"/>
    <w:rsid w:val="00104E31"/>
    <w:rsid w:val="001112F9"/>
    <w:rsid w:val="0011449A"/>
    <w:rsid w:val="00121B99"/>
    <w:rsid w:val="0013229B"/>
    <w:rsid w:val="0015095F"/>
    <w:rsid w:val="00150B80"/>
    <w:rsid w:val="001538B1"/>
    <w:rsid w:val="00160FB8"/>
    <w:rsid w:val="00162C1A"/>
    <w:rsid w:val="001651EC"/>
    <w:rsid w:val="0017059C"/>
    <w:rsid w:val="001760F3"/>
    <w:rsid w:val="00177B06"/>
    <w:rsid w:val="00180BD8"/>
    <w:rsid w:val="00182D02"/>
    <w:rsid w:val="0019566F"/>
    <w:rsid w:val="0019649C"/>
    <w:rsid w:val="001A1818"/>
    <w:rsid w:val="001A48CC"/>
    <w:rsid w:val="001A4EE2"/>
    <w:rsid w:val="001B22D7"/>
    <w:rsid w:val="001B2CE1"/>
    <w:rsid w:val="001B7FE0"/>
    <w:rsid w:val="001C1368"/>
    <w:rsid w:val="001C5F95"/>
    <w:rsid w:val="001D0FD5"/>
    <w:rsid w:val="001D2413"/>
    <w:rsid w:val="001D29EF"/>
    <w:rsid w:val="001D6741"/>
    <w:rsid w:val="001E2AAC"/>
    <w:rsid w:val="001E2EDE"/>
    <w:rsid w:val="001E3510"/>
    <w:rsid w:val="001E3A51"/>
    <w:rsid w:val="001E3D65"/>
    <w:rsid w:val="001F01FD"/>
    <w:rsid w:val="001F37DC"/>
    <w:rsid w:val="00204F4D"/>
    <w:rsid w:val="00207660"/>
    <w:rsid w:val="0021061B"/>
    <w:rsid w:val="00211DDC"/>
    <w:rsid w:val="0022112A"/>
    <w:rsid w:val="00224CDD"/>
    <w:rsid w:val="0022539A"/>
    <w:rsid w:val="00235597"/>
    <w:rsid w:val="00236A11"/>
    <w:rsid w:val="0024583E"/>
    <w:rsid w:val="00253CDF"/>
    <w:rsid w:val="002564E3"/>
    <w:rsid w:val="00257975"/>
    <w:rsid w:val="002631EF"/>
    <w:rsid w:val="00266F44"/>
    <w:rsid w:val="002738A3"/>
    <w:rsid w:val="002740B4"/>
    <w:rsid w:val="00275CD5"/>
    <w:rsid w:val="00276665"/>
    <w:rsid w:val="00287AA6"/>
    <w:rsid w:val="0029163A"/>
    <w:rsid w:val="00293C14"/>
    <w:rsid w:val="00293EEC"/>
    <w:rsid w:val="002943D4"/>
    <w:rsid w:val="0029457C"/>
    <w:rsid w:val="00295DB2"/>
    <w:rsid w:val="00296EF1"/>
    <w:rsid w:val="002A69B3"/>
    <w:rsid w:val="002B132D"/>
    <w:rsid w:val="002B411C"/>
    <w:rsid w:val="002B41C1"/>
    <w:rsid w:val="002C1C0C"/>
    <w:rsid w:val="002C3859"/>
    <w:rsid w:val="002D4A30"/>
    <w:rsid w:val="002D58FD"/>
    <w:rsid w:val="002D6E5F"/>
    <w:rsid w:val="002E5ADA"/>
    <w:rsid w:val="002E5D43"/>
    <w:rsid w:val="002E7C13"/>
    <w:rsid w:val="002F43CA"/>
    <w:rsid w:val="002F7A62"/>
    <w:rsid w:val="002F7ADA"/>
    <w:rsid w:val="003000CD"/>
    <w:rsid w:val="00301C4D"/>
    <w:rsid w:val="00301C98"/>
    <w:rsid w:val="003064B4"/>
    <w:rsid w:val="0030793D"/>
    <w:rsid w:val="00315B25"/>
    <w:rsid w:val="003176C5"/>
    <w:rsid w:val="003209DD"/>
    <w:rsid w:val="00324BA9"/>
    <w:rsid w:val="003304C4"/>
    <w:rsid w:val="00330D20"/>
    <w:rsid w:val="00335783"/>
    <w:rsid w:val="003367C2"/>
    <w:rsid w:val="00337905"/>
    <w:rsid w:val="0034000E"/>
    <w:rsid w:val="003402CC"/>
    <w:rsid w:val="00343140"/>
    <w:rsid w:val="003475BD"/>
    <w:rsid w:val="0035180D"/>
    <w:rsid w:val="003528DD"/>
    <w:rsid w:val="00354583"/>
    <w:rsid w:val="0035527F"/>
    <w:rsid w:val="00357483"/>
    <w:rsid w:val="003641C0"/>
    <w:rsid w:val="0036533F"/>
    <w:rsid w:val="00372856"/>
    <w:rsid w:val="003914E9"/>
    <w:rsid w:val="00393678"/>
    <w:rsid w:val="00394910"/>
    <w:rsid w:val="003965DB"/>
    <w:rsid w:val="00397ACD"/>
    <w:rsid w:val="003A0BE7"/>
    <w:rsid w:val="003A0DC6"/>
    <w:rsid w:val="003A145E"/>
    <w:rsid w:val="003A3932"/>
    <w:rsid w:val="003A47AC"/>
    <w:rsid w:val="003A6011"/>
    <w:rsid w:val="003A6067"/>
    <w:rsid w:val="003A7306"/>
    <w:rsid w:val="003A7C96"/>
    <w:rsid w:val="003B3219"/>
    <w:rsid w:val="003B3C51"/>
    <w:rsid w:val="003B4AA6"/>
    <w:rsid w:val="003B4B2E"/>
    <w:rsid w:val="003B76AD"/>
    <w:rsid w:val="003B7C06"/>
    <w:rsid w:val="003D0136"/>
    <w:rsid w:val="003D647F"/>
    <w:rsid w:val="003E0F47"/>
    <w:rsid w:val="003E4952"/>
    <w:rsid w:val="003E5A14"/>
    <w:rsid w:val="003F57A2"/>
    <w:rsid w:val="003F7BBC"/>
    <w:rsid w:val="0040261B"/>
    <w:rsid w:val="004074C7"/>
    <w:rsid w:val="004132B8"/>
    <w:rsid w:val="00413837"/>
    <w:rsid w:val="00413D85"/>
    <w:rsid w:val="00416AFE"/>
    <w:rsid w:val="00423CAB"/>
    <w:rsid w:val="00436718"/>
    <w:rsid w:val="004418A3"/>
    <w:rsid w:val="00443000"/>
    <w:rsid w:val="004441F7"/>
    <w:rsid w:val="00446315"/>
    <w:rsid w:val="00450D3B"/>
    <w:rsid w:val="004521DE"/>
    <w:rsid w:val="0045250C"/>
    <w:rsid w:val="00456126"/>
    <w:rsid w:val="004569BD"/>
    <w:rsid w:val="00457911"/>
    <w:rsid w:val="00457C5B"/>
    <w:rsid w:val="004600E0"/>
    <w:rsid w:val="0046126B"/>
    <w:rsid w:val="00463E93"/>
    <w:rsid w:val="00466775"/>
    <w:rsid w:val="00482FDD"/>
    <w:rsid w:val="00492211"/>
    <w:rsid w:val="00493394"/>
    <w:rsid w:val="004A005B"/>
    <w:rsid w:val="004A0E22"/>
    <w:rsid w:val="004A1B69"/>
    <w:rsid w:val="004A6861"/>
    <w:rsid w:val="004B1A1F"/>
    <w:rsid w:val="004B32CF"/>
    <w:rsid w:val="004B48B7"/>
    <w:rsid w:val="004C3496"/>
    <w:rsid w:val="004C51D2"/>
    <w:rsid w:val="004D10D9"/>
    <w:rsid w:val="004D1851"/>
    <w:rsid w:val="004E3E13"/>
    <w:rsid w:val="004E6C1D"/>
    <w:rsid w:val="004F33FC"/>
    <w:rsid w:val="004F4A48"/>
    <w:rsid w:val="004F7EAD"/>
    <w:rsid w:val="005107D0"/>
    <w:rsid w:val="0051131E"/>
    <w:rsid w:val="00513E58"/>
    <w:rsid w:val="00517F51"/>
    <w:rsid w:val="00530945"/>
    <w:rsid w:val="00531601"/>
    <w:rsid w:val="005344DF"/>
    <w:rsid w:val="00534CBE"/>
    <w:rsid w:val="00545D2A"/>
    <w:rsid w:val="0055190E"/>
    <w:rsid w:val="00551A61"/>
    <w:rsid w:val="00557F6D"/>
    <w:rsid w:val="00557F92"/>
    <w:rsid w:val="005607A3"/>
    <w:rsid w:val="00567BED"/>
    <w:rsid w:val="0057161C"/>
    <w:rsid w:val="005728C7"/>
    <w:rsid w:val="00572F2B"/>
    <w:rsid w:val="00583181"/>
    <w:rsid w:val="00583686"/>
    <w:rsid w:val="00584462"/>
    <w:rsid w:val="00585102"/>
    <w:rsid w:val="00593C0F"/>
    <w:rsid w:val="0059429D"/>
    <w:rsid w:val="00594A38"/>
    <w:rsid w:val="0059638C"/>
    <w:rsid w:val="005B11D4"/>
    <w:rsid w:val="005B3B8F"/>
    <w:rsid w:val="005B57CF"/>
    <w:rsid w:val="005B664C"/>
    <w:rsid w:val="005B672A"/>
    <w:rsid w:val="005C2E30"/>
    <w:rsid w:val="005D2C6E"/>
    <w:rsid w:val="005D2E19"/>
    <w:rsid w:val="005E3D43"/>
    <w:rsid w:val="005E7756"/>
    <w:rsid w:val="005F1789"/>
    <w:rsid w:val="005F1ED4"/>
    <w:rsid w:val="005F4AE4"/>
    <w:rsid w:val="005F6E14"/>
    <w:rsid w:val="005F7E41"/>
    <w:rsid w:val="006001F3"/>
    <w:rsid w:val="00601DAC"/>
    <w:rsid w:val="00601F4E"/>
    <w:rsid w:val="00602B92"/>
    <w:rsid w:val="00602EF3"/>
    <w:rsid w:val="00613D3C"/>
    <w:rsid w:val="00621DCB"/>
    <w:rsid w:val="00627732"/>
    <w:rsid w:val="0063131A"/>
    <w:rsid w:val="0063291D"/>
    <w:rsid w:val="00634EA5"/>
    <w:rsid w:val="00646C24"/>
    <w:rsid w:val="0064719B"/>
    <w:rsid w:val="0064750D"/>
    <w:rsid w:val="006522C6"/>
    <w:rsid w:val="00652806"/>
    <w:rsid w:val="00657EF0"/>
    <w:rsid w:val="00663B33"/>
    <w:rsid w:val="00664D53"/>
    <w:rsid w:val="00667AC1"/>
    <w:rsid w:val="006718D4"/>
    <w:rsid w:val="006738F6"/>
    <w:rsid w:val="00680032"/>
    <w:rsid w:val="00684161"/>
    <w:rsid w:val="00685E7D"/>
    <w:rsid w:val="006862F2"/>
    <w:rsid w:val="006920E7"/>
    <w:rsid w:val="00697507"/>
    <w:rsid w:val="006A119F"/>
    <w:rsid w:val="006A27C4"/>
    <w:rsid w:val="006A46DF"/>
    <w:rsid w:val="006B0D32"/>
    <w:rsid w:val="006B3118"/>
    <w:rsid w:val="006B560B"/>
    <w:rsid w:val="006B7942"/>
    <w:rsid w:val="006B7E4D"/>
    <w:rsid w:val="006C00BB"/>
    <w:rsid w:val="006C0E10"/>
    <w:rsid w:val="006C19D8"/>
    <w:rsid w:val="006C33DA"/>
    <w:rsid w:val="006D0FD3"/>
    <w:rsid w:val="006D5052"/>
    <w:rsid w:val="006D6B7B"/>
    <w:rsid w:val="006E3AFE"/>
    <w:rsid w:val="006E6AD0"/>
    <w:rsid w:val="006E70D0"/>
    <w:rsid w:val="006F0905"/>
    <w:rsid w:val="006F266C"/>
    <w:rsid w:val="007021DF"/>
    <w:rsid w:val="00702CCA"/>
    <w:rsid w:val="00713D0E"/>
    <w:rsid w:val="007178EE"/>
    <w:rsid w:val="00722573"/>
    <w:rsid w:val="00726762"/>
    <w:rsid w:val="0073264F"/>
    <w:rsid w:val="00737714"/>
    <w:rsid w:val="007440B1"/>
    <w:rsid w:val="00747F14"/>
    <w:rsid w:val="007555FB"/>
    <w:rsid w:val="00770BAD"/>
    <w:rsid w:val="00773C75"/>
    <w:rsid w:val="0077470B"/>
    <w:rsid w:val="00787F49"/>
    <w:rsid w:val="0079550E"/>
    <w:rsid w:val="0079644D"/>
    <w:rsid w:val="007A750A"/>
    <w:rsid w:val="007A7E47"/>
    <w:rsid w:val="007B1FF1"/>
    <w:rsid w:val="007B2D54"/>
    <w:rsid w:val="007B69F4"/>
    <w:rsid w:val="007C1D96"/>
    <w:rsid w:val="007C38B5"/>
    <w:rsid w:val="007C6F31"/>
    <w:rsid w:val="007D492B"/>
    <w:rsid w:val="007D6CB9"/>
    <w:rsid w:val="007D6FF6"/>
    <w:rsid w:val="007E0240"/>
    <w:rsid w:val="007E193A"/>
    <w:rsid w:val="007E29B3"/>
    <w:rsid w:val="007E2CA4"/>
    <w:rsid w:val="007E6D6D"/>
    <w:rsid w:val="007E7E07"/>
    <w:rsid w:val="007F3220"/>
    <w:rsid w:val="007F6628"/>
    <w:rsid w:val="00803C77"/>
    <w:rsid w:val="00803D7C"/>
    <w:rsid w:val="008077E7"/>
    <w:rsid w:val="00810AF1"/>
    <w:rsid w:val="008153CD"/>
    <w:rsid w:val="00815B6D"/>
    <w:rsid w:val="00817F5E"/>
    <w:rsid w:val="00821392"/>
    <w:rsid w:val="008219C2"/>
    <w:rsid w:val="0082764C"/>
    <w:rsid w:val="0083547E"/>
    <w:rsid w:val="0083551B"/>
    <w:rsid w:val="0083640D"/>
    <w:rsid w:val="00843387"/>
    <w:rsid w:val="00843DB2"/>
    <w:rsid w:val="00845743"/>
    <w:rsid w:val="00846467"/>
    <w:rsid w:val="008508BB"/>
    <w:rsid w:val="0085317B"/>
    <w:rsid w:val="008562CB"/>
    <w:rsid w:val="0086409B"/>
    <w:rsid w:val="00866988"/>
    <w:rsid w:val="0088034A"/>
    <w:rsid w:val="00881A69"/>
    <w:rsid w:val="00887E5F"/>
    <w:rsid w:val="0089120C"/>
    <w:rsid w:val="008963B6"/>
    <w:rsid w:val="008A614E"/>
    <w:rsid w:val="008A6761"/>
    <w:rsid w:val="008C0222"/>
    <w:rsid w:val="008C3090"/>
    <w:rsid w:val="008D07B3"/>
    <w:rsid w:val="008E0303"/>
    <w:rsid w:val="008E0B97"/>
    <w:rsid w:val="008E4E6A"/>
    <w:rsid w:val="008F06A5"/>
    <w:rsid w:val="008F1C2B"/>
    <w:rsid w:val="008F4777"/>
    <w:rsid w:val="008F4FA7"/>
    <w:rsid w:val="008F7747"/>
    <w:rsid w:val="00900BFA"/>
    <w:rsid w:val="009014A8"/>
    <w:rsid w:val="00916E6C"/>
    <w:rsid w:val="00917292"/>
    <w:rsid w:val="009225B6"/>
    <w:rsid w:val="00924221"/>
    <w:rsid w:val="00924B20"/>
    <w:rsid w:val="00932B80"/>
    <w:rsid w:val="0093590C"/>
    <w:rsid w:val="00936994"/>
    <w:rsid w:val="0094502F"/>
    <w:rsid w:val="00947348"/>
    <w:rsid w:val="009525FE"/>
    <w:rsid w:val="00956DE4"/>
    <w:rsid w:val="0095793B"/>
    <w:rsid w:val="00961198"/>
    <w:rsid w:val="00967871"/>
    <w:rsid w:val="009740D6"/>
    <w:rsid w:val="00975AF7"/>
    <w:rsid w:val="00975F8D"/>
    <w:rsid w:val="0097733A"/>
    <w:rsid w:val="009774DF"/>
    <w:rsid w:val="00985D99"/>
    <w:rsid w:val="00986954"/>
    <w:rsid w:val="00987000"/>
    <w:rsid w:val="009A07C5"/>
    <w:rsid w:val="009A1B57"/>
    <w:rsid w:val="009A463D"/>
    <w:rsid w:val="009A641E"/>
    <w:rsid w:val="009A68C9"/>
    <w:rsid w:val="009A769D"/>
    <w:rsid w:val="009B0C45"/>
    <w:rsid w:val="009B0FD6"/>
    <w:rsid w:val="009B2DD3"/>
    <w:rsid w:val="009B6825"/>
    <w:rsid w:val="009C0D26"/>
    <w:rsid w:val="009C5F69"/>
    <w:rsid w:val="009D1FC2"/>
    <w:rsid w:val="009D4444"/>
    <w:rsid w:val="009E22E1"/>
    <w:rsid w:val="009E31AC"/>
    <w:rsid w:val="009E75C5"/>
    <w:rsid w:val="009E75CF"/>
    <w:rsid w:val="009F3DE2"/>
    <w:rsid w:val="009F5606"/>
    <w:rsid w:val="00A00A8B"/>
    <w:rsid w:val="00A03448"/>
    <w:rsid w:val="00A04D8F"/>
    <w:rsid w:val="00A05166"/>
    <w:rsid w:val="00A07B91"/>
    <w:rsid w:val="00A11022"/>
    <w:rsid w:val="00A21D5D"/>
    <w:rsid w:val="00A22131"/>
    <w:rsid w:val="00A248A3"/>
    <w:rsid w:val="00A25C1A"/>
    <w:rsid w:val="00A3022B"/>
    <w:rsid w:val="00A35935"/>
    <w:rsid w:val="00A422E1"/>
    <w:rsid w:val="00A4616B"/>
    <w:rsid w:val="00A46F8A"/>
    <w:rsid w:val="00A53051"/>
    <w:rsid w:val="00A548D7"/>
    <w:rsid w:val="00A55DF6"/>
    <w:rsid w:val="00A5738B"/>
    <w:rsid w:val="00A617BE"/>
    <w:rsid w:val="00A6262F"/>
    <w:rsid w:val="00A63699"/>
    <w:rsid w:val="00A671AA"/>
    <w:rsid w:val="00A67394"/>
    <w:rsid w:val="00A71E46"/>
    <w:rsid w:val="00A77B1C"/>
    <w:rsid w:val="00A80472"/>
    <w:rsid w:val="00A847DC"/>
    <w:rsid w:val="00A90EF3"/>
    <w:rsid w:val="00A9184E"/>
    <w:rsid w:val="00A929CB"/>
    <w:rsid w:val="00AA0F15"/>
    <w:rsid w:val="00AB08A7"/>
    <w:rsid w:val="00AC01E0"/>
    <w:rsid w:val="00AC294C"/>
    <w:rsid w:val="00AC5641"/>
    <w:rsid w:val="00AD2B78"/>
    <w:rsid w:val="00AD5FE2"/>
    <w:rsid w:val="00AE165F"/>
    <w:rsid w:val="00AE26A8"/>
    <w:rsid w:val="00B0034F"/>
    <w:rsid w:val="00B0422A"/>
    <w:rsid w:val="00B06A3E"/>
    <w:rsid w:val="00B1345E"/>
    <w:rsid w:val="00B175ED"/>
    <w:rsid w:val="00B177E1"/>
    <w:rsid w:val="00B23650"/>
    <w:rsid w:val="00B2465E"/>
    <w:rsid w:val="00B27F99"/>
    <w:rsid w:val="00B3053F"/>
    <w:rsid w:val="00B32412"/>
    <w:rsid w:val="00B37227"/>
    <w:rsid w:val="00B40D5C"/>
    <w:rsid w:val="00B41069"/>
    <w:rsid w:val="00B4301B"/>
    <w:rsid w:val="00B460F1"/>
    <w:rsid w:val="00B53DB2"/>
    <w:rsid w:val="00B5442E"/>
    <w:rsid w:val="00B56E5E"/>
    <w:rsid w:val="00B632DB"/>
    <w:rsid w:val="00B704BC"/>
    <w:rsid w:val="00B77851"/>
    <w:rsid w:val="00B87F43"/>
    <w:rsid w:val="00B942DC"/>
    <w:rsid w:val="00B963A6"/>
    <w:rsid w:val="00BA366E"/>
    <w:rsid w:val="00BA3FA4"/>
    <w:rsid w:val="00BA6CC6"/>
    <w:rsid w:val="00BB2B00"/>
    <w:rsid w:val="00BB315B"/>
    <w:rsid w:val="00BB44EE"/>
    <w:rsid w:val="00BD18E3"/>
    <w:rsid w:val="00BD36CF"/>
    <w:rsid w:val="00BD5AF3"/>
    <w:rsid w:val="00BE150F"/>
    <w:rsid w:val="00BE69C3"/>
    <w:rsid w:val="00BF5A54"/>
    <w:rsid w:val="00C03491"/>
    <w:rsid w:val="00C11BC2"/>
    <w:rsid w:val="00C20274"/>
    <w:rsid w:val="00C207D8"/>
    <w:rsid w:val="00C210CE"/>
    <w:rsid w:val="00C2480F"/>
    <w:rsid w:val="00C26965"/>
    <w:rsid w:val="00C57AFE"/>
    <w:rsid w:val="00C60ABB"/>
    <w:rsid w:val="00C62080"/>
    <w:rsid w:val="00C65795"/>
    <w:rsid w:val="00C65979"/>
    <w:rsid w:val="00C66D22"/>
    <w:rsid w:val="00C676F9"/>
    <w:rsid w:val="00C77AF3"/>
    <w:rsid w:val="00C82DD4"/>
    <w:rsid w:val="00C83530"/>
    <w:rsid w:val="00C83D56"/>
    <w:rsid w:val="00C84216"/>
    <w:rsid w:val="00C93C97"/>
    <w:rsid w:val="00C94EB5"/>
    <w:rsid w:val="00C95D08"/>
    <w:rsid w:val="00C96075"/>
    <w:rsid w:val="00CA0987"/>
    <w:rsid w:val="00CA1A22"/>
    <w:rsid w:val="00CA1F34"/>
    <w:rsid w:val="00CA6F1D"/>
    <w:rsid w:val="00CB4B6B"/>
    <w:rsid w:val="00CC38A2"/>
    <w:rsid w:val="00CC6F5E"/>
    <w:rsid w:val="00CC7B9D"/>
    <w:rsid w:val="00CD0349"/>
    <w:rsid w:val="00CD0D1A"/>
    <w:rsid w:val="00CD2092"/>
    <w:rsid w:val="00CD3B78"/>
    <w:rsid w:val="00CD561A"/>
    <w:rsid w:val="00CE3B63"/>
    <w:rsid w:val="00CE4D7B"/>
    <w:rsid w:val="00CF165D"/>
    <w:rsid w:val="00CF3B5E"/>
    <w:rsid w:val="00CF4520"/>
    <w:rsid w:val="00CF6F78"/>
    <w:rsid w:val="00D06C63"/>
    <w:rsid w:val="00D160AE"/>
    <w:rsid w:val="00D16AF2"/>
    <w:rsid w:val="00D2092C"/>
    <w:rsid w:val="00D301DC"/>
    <w:rsid w:val="00D35D1A"/>
    <w:rsid w:val="00D4569C"/>
    <w:rsid w:val="00D50674"/>
    <w:rsid w:val="00D51538"/>
    <w:rsid w:val="00D614C8"/>
    <w:rsid w:val="00D618D7"/>
    <w:rsid w:val="00D67FB7"/>
    <w:rsid w:val="00D70A31"/>
    <w:rsid w:val="00D70A73"/>
    <w:rsid w:val="00D7134F"/>
    <w:rsid w:val="00D7218B"/>
    <w:rsid w:val="00D72793"/>
    <w:rsid w:val="00D767A5"/>
    <w:rsid w:val="00D85C42"/>
    <w:rsid w:val="00D95B4F"/>
    <w:rsid w:val="00DA14FD"/>
    <w:rsid w:val="00DA26B7"/>
    <w:rsid w:val="00DB08A2"/>
    <w:rsid w:val="00DB4DAE"/>
    <w:rsid w:val="00DC0386"/>
    <w:rsid w:val="00DC3F02"/>
    <w:rsid w:val="00DC6F42"/>
    <w:rsid w:val="00DC7B1F"/>
    <w:rsid w:val="00DD20E4"/>
    <w:rsid w:val="00DD3ADC"/>
    <w:rsid w:val="00DE7930"/>
    <w:rsid w:val="00DF0E3E"/>
    <w:rsid w:val="00DF26EB"/>
    <w:rsid w:val="00DF45C0"/>
    <w:rsid w:val="00E0122B"/>
    <w:rsid w:val="00E012AC"/>
    <w:rsid w:val="00E01494"/>
    <w:rsid w:val="00E03A2B"/>
    <w:rsid w:val="00E106C1"/>
    <w:rsid w:val="00E11545"/>
    <w:rsid w:val="00E11828"/>
    <w:rsid w:val="00E11FE0"/>
    <w:rsid w:val="00E16721"/>
    <w:rsid w:val="00E26B11"/>
    <w:rsid w:val="00E271D0"/>
    <w:rsid w:val="00E37D8F"/>
    <w:rsid w:val="00E4049A"/>
    <w:rsid w:val="00E44FD0"/>
    <w:rsid w:val="00E4541A"/>
    <w:rsid w:val="00E46D18"/>
    <w:rsid w:val="00E56897"/>
    <w:rsid w:val="00E6254F"/>
    <w:rsid w:val="00E62F43"/>
    <w:rsid w:val="00E649C1"/>
    <w:rsid w:val="00E65CC8"/>
    <w:rsid w:val="00E70C43"/>
    <w:rsid w:val="00E72600"/>
    <w:rsid w:val="00E72610"/>
    <w:rsid w:val="00E741B3"/>
    <w:rsid w:val="00E7627C"/>
    <w:rsid w:val="00E813AC"/>
    <w:rsid w:val="00E83295"/>
    <w:rsid w:val="00E85C00"/>
    <w:rsid w:val="00E86C16"/>
    <w:rsid w:val="00E91159"/>
    <w:rsid w:val="00E92DFD"/>
    <w:rsid w:val="00E94B5A"/>
    <w:rsid w:val="00E94DED"/>
    <w:rsid w:val="00EA061B"/>
    <w:rsid w:val="00EB30B0"/>
    <w:rsid w:val="00EB47C7"/>
    <w:rsid w:val="00EB6BCF"/>
    <w:rsid w:val="00EB7771"/>
    <w:rsid w:val="00EC19EE"/>
    <w:rsid w:val="00EC5F57"/>
    <w:rsid w:val="00ED4EB0"/>
    <w:rsid w:val="00ED576C"/>
    <w:rsid w:val="00EE0E79"/>
    <w:rsid w:val="00EE2ED5"/>
    <w:rsid w:val="00EF13D4"/>
    <w:rsid w:val="00EF27A9"/>
    <w:rsid w:val="00EF671E"/>
    <w:rsid w:val="00EF6A27"/>
    <w:rsid w:val="00F0197A"/>
    <w:rsid w:val="00F04982"/>
    <w:rsid w:val="00F07856"/>
    <w:rsid w:val="00F07D29"/>
    <w:rsid w:val="00F14A5E"/>
    <w:rsid w:val="00F20E26"/>
    <w:rsid w:val="00F3120E"/>
    <w:rsid w:val="00F32A20"/>
    <w:rsid w:val="00F34BAD"/>
    <w:rsid w:val="00F36BFE"/>
    <w:rsid w:val="00F37416"/>
    <w:rsid w:val="00F45131"/>
    <w:rsid w:val="00F45CCD"/>
    <w:rsid w:val="00F53B68"/>
    <w:rsid w:val="00F54ACA"/>
    <w:rsid w:val="00F66402"/>
    <w:rsid w:val="00F735C8"/>
    <w:rsid w:val="00F90E70"/>
    <w:rsid w:val="00F91433"/>
    <w:rsid w:val="00F93CF9"/>
    <w:rsid w:val="00F94329"/>
    <w:rsid w:val="00F9539C"/>
    <w:rsid w:val="00FA250C"/>
    <w:rsid w:val="00FA45BF"/>
    <w:rsid w:val="00FA4E27"/>
    <w:rsid w:val="00FB5BE9"/>
    <w:rsid w:val="00FB6858"/>
    <w:rsid w:val="00FC5756"/>
    <w:rsid w:val="00FC589D"/>
    <w:rsid w:val="00FE15D6"/>
    <w:rsid w:val="00FE196C"/>
    <w:rsid w:val="00FE3CD9"/>
    <w:rsid w:val="00FE5205"/>
    <w:rsid w:val="00FE6976"/>
    <w:rsid w:val="00FF0887"/>
    <w:rsid w:val="00FF41F9"/>
    <w:rsid w:val="00FF4B00"/>
    <w:rsid w:val="00FF6D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45B03"/>
  <w15:docId w15:val="{0BF6EDE0-5543-4DC8-AAED-52955A6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93"/>
  </w:style>
  <w:style w:type="paragraph" w:styleId="Naslov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  <w:lang w:eastAsia="en-US"/>
    </w:rPr>
  </w:style>
  <w:style w:type="paragraph" w:styleId="Naslov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snapToGrid w:val="0"/>
      <w:sz w:val="32"/>
      <w:lang w:eastAsia="en-US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jc w:val="both"/>
      <w:outlineLvl w:val="3"/>
    </w:pPr>
    <w:rPr>
      <w:snapToGrid w:val="0"/>
      <w:sz w:val="24"/>
      <w:lang w:eastAsia="en-US"/>
    </w:rPr>
  </w:style>
  <w:style w:type="paragraph" w:styleId="Naslov6">
    <w:name w:val="heading 6"/>
    <w:basedOn w:val="Normal"/>
    <w:next w:val="Normal"/>
    <w:link w:val="Naslov6Char"/>
    <w:qFormat/>
    <w:pPr>
      <w:keepNext/>
      <w:widowControl w:val="0"/>
      <w:jc w:val="both"/>
      <w:outlineLvl w:val="5"/>
    </w:pPr>
    <w:rPr>
      <w:i/>
      <w:iCs/>
      <w:snapToGrid w:val="0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pPr>
      <w:keepNext/>
      <w:widowControl w:val="0"/>
      <w:jc w:val="both"/>
      <w:outlineLvl w:val="6"/>
    </w:pPr>
    <w:rPr>
      <w:b/>
      <w:bCs/>
      <w:snapToGrid w:val="0"/>
      <w:szCs w:val="22"/>
      <w:lang w:eastAsia="en-US"/>
    </w:rPr>
  </w:style>
  <w:style w:type="paragraph" w:styleId="Naslov8">
    <w:name w:val="heading 8"/>
    <w:basedOn w:val="Normal"/>
    <w:next w:val="Normal"/>
    <w:qFormat/>
    <w:pPr>
      <w:keepNext/>
      <w:widowControl w:val="0"/>
      <w:outlineLvl w:val="7"/>
    </w:pPr>
    <w:rPr>
      <w:i/>
      <w:iCs/>
      <w:snapToGrid w:val="0"/>
      <w:szCs w:val="22"/>
      <w:lang w:eastAsia="en-US"/>
    </w:rPr>
  </w:style>
  <w:style w:type="paragraph" w:styleId="Naslov9">
    <w:name w:val="heading 9"/>
    <w:basedOn w:val="Normal"/>
    <w:next w:val="Normal"/>
    <w:qFormat/>
    <w:pPr>
      <w:keepNext/>
      <w:widowControl w:val="0"/>
      <w:jc w:val="center"/>
      <w:outlineLvl w:val="8"/>
    </w:pPr>
    <w:rPr>
      <w:i/>
      <w:snapToGrid w:val="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</w:pPr>
    <w:rPr>
      <w:i/>
      <w:iCs/>
      <w:snapToGrid w:val="0"/>
      <w:sz w:val="24"/>
      <w:lang w:eastAsia="en-US"/>
    </w:rPr>
  </w:style>
  <w:style w:type="paragraph" w:styleId="Tekstbalonia">
    <w:name w:val="Balloon Text"/>
    <w:basedOn w:val="Normal"/>
    <w:semiHidden/>
    <w:rsid w:val="0035180D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pacing w:after="120" w:line="480" w:lineRule="auto"/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sid w:val="00A55DF6"/>
    <w:rPr>
      <w:rFonts w:ascii="Courier New" w:hAnsi="Courier New" w:cs="Courier New"/>
    </w:rPr>
  </w:style>
  <w:style w:type="character" w:styleId="Hiperveza">
    <w:name w:val="Hyperlink"/>
    <w:rsid w:val="003A6011"/>
    <w:rPr>
      <w:color w:val="0000FF"/>
      <w:u w:val="single"/>
    </w:rPr>
  </w:style>
  <w:style w:type="character" w:customStyle="1" w:styleId="ObinitekstChar">
    <w:name w:val="Obični tekst Char"/>
    <w:link w:val="Obinitekst"/>
    <w:rsid w:val="00A67394"/>
    <w:rPr>
      <w:rFonts w:ascii="Courier New" w:hAnsi="Courier New" w:cs="Courier New"/>
    </w:rPr>
  </w:style>
  <w:style w:type="character" w:customStyle="1" w:styleId="Naslov6Char">
    <w:name w:val="Naslov 6 Char"/>
    <w:link w:val="Naslov6"/>
    <w:rsid w:val="0036533F"/>
    <w:rPr>
      <w:i/>
      <w:iCs/>
      <w:snapToGrid w:val="0"/>
      <w:szCs w:val="22"/>
      <w:lang w:eastAsia="en-US"/>
    </w:rPr>
  </w:style>
  <w:style w:type="character" w:customStyle="1" w:styleId="Naslov7Char">
    <w:name w:val="Naslov 7 Char"/>
    <w:link w:val="Naslov7"/>
    <w:rsid w:val="0036533F"/>
    <w:rPr>
      <w:b/>
      <w:bCs/>
      <w:snapToGrid w:val="0"/>
      <w:szCs w:val="22"/>
      <w:lang w:eastAsia="en-US"/>
    </w:rPr>
  </w:style>
  <w:style w:type="paragraph" w:customStyle="1" w:styleId="box458111">
    <w:name w:val="box_458111"/>
    <w:basedOn w:val="Normal"/>
    <w:rsid w:val="009C0D26"/>
    <w:pPr>
      <w:spacing w:before="100" w:beforeAutospacing="1" w:after="100" w:afterAutospacing="1"/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95DB2"/>
  </w:style>
  <w:style w:type="paragraph" w:styleId="Odlomakpopisa">
    <w:name w:val="List Paragraph"/>
    <w:basedOn w:val="Normal"/>
    <w:uiPriority w:val="34"/>
    <w:qFormat/>
    <w:rsid w:val="00AB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programa_Microsoft_Word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A087-3139-46C7-9F4A-E785295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3408</Words>
  <Characters>19430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BSA-G.I.U.</Company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Podrebarac Novak</cp:lastModifiedBy>
  <cp:revision>44</cp:revision>
  <cp:lastPrinted>2022-06-20T10:26:00Z</cp:lastPrinted>
  <dcterms:created xsi:type="dcterms:W3CDTF">2022-04-25T05:01:00Z</dcterms:created>
  <dcterms:modified xsi:type="dcterms:W3CDTF">2022-06-20T10:26:00Z</dcterms:modified>
</cp:coreProperties>
</file>