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7D" w:rsidRDefault="00C47F7D" w:rsidP="00C47F7D">
      <w:pPr>
        <w:rPr>
          <w:rFonts w:ascii="Times New Roman" w:hAnsi="Times New Roman" w:cs="Times New Roman"/>
          <w:sz w:val="24"/>
          <w:szCs w:val="24"/>
        </w:rPr>
      </w:pPr>
      <w:r>
        <w:rPr>
          <w:rFonts w:ascii="Times New Roman" w:hAnsi="Times New Roman" w:cs="Times New Roman"/>
          <w:sz w:val="24"/>
          <w:szCs w:val="24"/>
        </w:rPr>
        <w:t>20270</w:t>
      </w:r>
      <w:r w:rsidR="00D86B30">
        <w:rPr>
          <w:rFonts w:ascii="Times New Roman" w:hAnsi="Times New Roman" w:cs="Times New Roman"/>
          <w:sz w:val="24"/>
          <w:szCs w:val="24"/>
        </w:rPr>
        <w:t xml:space="preserve">                                                                                                                          Prilog 7a</w:t>
      </w:r>
    </w:p>
    <w:p w:rsidR="00C47F7D" w:rsidRDefault="00C47F7D" w:rsidP="00C47F7D">
      <w:pPr>
        <w:rPr>
          <w:rFonts w:ascii="Times New Roman" w:hAnsi="Times New Roman" w:cs="Times New Roman"/>
          <w:sz w:val="24"/>
          <w:szCs w:val="24"/>
        </w:rPr>
      </w:pPr>
      <w:r>
        <w:rPr>
          <w:rFonts w:ascii="Times New Roman" w:hAnsi="Times New Roman" w:cs="Times New Roman"/>
          <w:sz w:val="24"/>
          <w:szCs w:val="24"/>
        </w:rPr>
        <w:t>OPĆINSKO DRŽAVNO ODVJETNIŠTVO U KARLOVCU</w:t>
      </w:r>
    </w:p>
    <w:p w:rsidR="00AA028B" w:rsidRDefault="00AA028B" w:rsidP="00C47F7D">
      <w:pPr>
        <w:rPr>
          <w:rFonts w:ascii="Times New Roman" w:hAnsi="Times New Roman" w:cs="Times New Roman"/>
          <w:sz w:val="24"/>
          <w:szCs w:val="24"/>
        </w:rPr>
      </w:pPr>
    </w:p>
    <w:p w:rsidR="00C47F7D" w:rsidRDefault="001964F7" w:rsidP="00C47F7D">
      <w:pPr>
        <w:rPr>
          <w:rFonts w:ascii="Times New Roman" w:hAnsi="Times New Roman" w:cs="Times New Roman"/>
          <w:sz w:val="24"/>
          <w:szCs w:val="24"/>
        </w:rPr>
      </w:pPr>
      <w:r>
        <w:rPr>
          <w:rFonts w:ascii="Times New Roman" w:hAnsi="Times New Roman" w:cs="Times New Roman"/>
          <w:sz w:val="24"/>
          <w:szCs w:val="24"/>
        </w:rPr>
        <w:t xml:space="preserve">                  OBRAZLOŽENJE OPĆEG DIJELA FINANCIJSKOG PLANA</w:t>
      </w:r>
    </w:p>
    <w:p w:rsidR="001964F7" w:rsidRDefault="001964F7" w:rsidP="00CB6476">
      <w:pPr>
        <w:jc w:val="both"/>
        <w:rPr>
          <w:rFonts w:ascii="Times New Roman" w:hAnsi="Times New Roman" w:cs="Times New Roman"/>
          <w:sz w:val="24"/>
          <w:szCs w:val="24"/>
        </w:rPr>
      </w:pPr>
    </w:p>
    <w:p w:rsidR="00C47F7D" w:rsidRDefault="00C47F7D" w:rsidP="00CB6476">
      <w:pPr>
        <w:jc w:val="both"/>
        <w:rPr>
          <w:rFonts w:ascii="Times New Roman" w:hAnsi="Times New Roman" w:cs="Times New Roman"/>
          <w:sz w:val="24"/>
          <w:szCs w:val="24"/>
        </w:rPr>
      </w:pPr>
      <w:r>
        <w:rPr>
          <w:rFonts w:ascii="Times New Roman" w:hAnsi="Times New Roman" w:cs="Times New Roman"/>
          <w:sz w:val="24"/>
          <w:szCs w:val="24"/>
        </w:rPr>
        <w:t>PRIHODI I PRIMICI</w:t>
      </w:r>
    </w:p>
    <w:p w:rsidR="00C47F7D" w:rsidRDefault="00AB5C6E" w:rsidP="00CB6476">
      <w:pPr>
        <w:jc w:val="both"/>
        <w:rPr>
          <w:rFonts w:ascii="Times New Roman" w:hAnsi="Times New Roman" w:cs="Times New Roman"/>
          <w:sz w:val="24"/>
          <w:szCs w:val="24"/>
        </w:rPr>
      </w:pPr>
      <w:r>
        <w:rPr>
          <w:rFonts w:ascii="Times New Roman" w:hAnsi="Times New Roman" w:cs="Times New Roman"/>
          <w:sz w:val="24"/>
          <w:szCs w:val="24"/>
        </w:rPr>
        <w:t xml:space="preserve">Ukupno planirani prihodi i primici sastoje se od izvora 11 i  izvora 31. </w:t>
      </w:r>
      <w:r w:rsidR="007D3B20">
        <w:rPr>
          <w:rFonts w:ascii="Times New Roman" w:hAnsi="Times New Roman" w:cs="Times New Roman"/>
          <w:sz w:val="24"/>
          <w:szCs w:val="24"/>
        </w:rPr>
        <w:t>Za izvore 11 za 2023.g. iznose 1.152.618</w:t>
      </w:r>
      <w:r>
        <w:rPr>
          <w:rFonts w:ascii="Times New Roman" w:hAnsi="Times New Roman" w:cs="Times New Roman"/>
          <w:sz w:val="24"/>
          <w:szCs w:val="24"/>
        </w:rPr>
        <w:t xml:space="preserve">,00 </w:t>
      </w:r>
      <w:r w:rsidR="0028696B">
        <w:rPr>
          <w:rFonts w:ascii="Times New Roman" w:hAnsi="Times New Roman" w:cs="Times New Roman"/>
          <w:sz w:val="24"/>
          <w:szCs w:val="24"/>
        </w:rPr>
        <w:t>eura</w:t>
      </w:r>
      <w:r>
        <w:rPr>
          <w:rFonts w:ascii="Times New Roman" w:hAnsi="Times New Roman" w:cs="Times New Roman"/>
          <w:sz w:val="24"/>
          <w:szCs w:val="24"/>
        </w:rPr>
        <w:t xml:space="preserve">, za </w:t>
      </w:r>
      <w:r w:rsidR="007D3B20">
        <w:rPr>
          <w:rFonts w:ascii="Times New Roman" w:hAnsi="Times New Roman" w:cs="Times New Roman"/>
          <w:sz w:val="24"/>
          <w:szCs w:val="24"/>
        </w:rPr>
        <w:t>2024.g. iznose 1.146.340</w:t>
      </w:r>
      <w:r>
        <w:rPr>
          <w:rFonts w:ascii="Times New Roman" w:hAnsi="Times New Roman" w:cs="Times New Roman"/>
          <w:sz w:val="24"/>
          <w:szCs w:val="24"/>
        </w:rPr>
        <w:t xml:space="preserve">,00 </w:t>
      </w:r>
      <w:r w:rsidR="0028696B">
        <w:rPr>
          <w:rFonts w:ascii="Times New Roman" w:hAnsi="Times New Roman" w:cs="Times New Roman"/>
          <w:sz w:val="24"/>
          <w:szCs w:val="24"/>
        </w:rPr>
        <w:t>eura</w:t>
      </w:r>
      <w:r>
        <w:rPr>
          <w:rFonts w:ascii="Times New Roman" w:hAnsi="Times New Roman" w:cs="Times New Roman"/>
          <w:sz w:val="24"/>
          <w:szCs w:val="24"/>
        </w:rPr>
        <w:t xml:space="preserve"> i za 2025.g. iznose </w:t>
      </w:r>
      <w:r w:rsidR="007D3B20">
        <w:rPr>
          <w:rFonts w:ascii="Times New Roman" w:hAnsi="Times New Roman" w:cs="Times New Roman"/>
          <w:sz w:val="24"/>
          <w:szCs w:val="24"/>
        </w:rPr>
        <w:t>1.146.340</w:t>
      </w:r>
      <w:r w:rsidR="0028696B">
        <w:rPr>
          <w:rFonts w:ascii="Times New Roman" w:hAnsi="Times New Roman" w:cs="Times New Roman"/>
          <w:sz w:val="24"/>
          <w:szCs w:val="24"/>
        </w:rPr>
        <w:t>,00 eura</w:t>
      </w:r>
      <w:r>
        <w:rPr>
          <w:rFonts w:ascii="Times New Roman" w:hAnsi="Times New Roman" w:cs="Times New Roman"/>
          <w:sz w:val="24"/>
          <w:szCs w:val="24"/>
        </w:rPr>
        <w:t xml:space="preserve"> dok na izvoru 31 p</w:t>
      </w:r>
      <w:r w:rsidR="004A5AE3">
        <w:rPr>
          <w:rFonts w:ascii="Times New Roman" w:hAnsi="Times New Roman" w:cs="Times New Roman"/>
          <w:sz w:val="24"/>
          <w:szCs w:val="24"/>
        </w:rPr>
        <w:t xml:space="preserve">rihodi  za svaku godine iznosi </w:t>
      </w:r>
      <w:r w:rsidR="007D3B20">
        <w:rPr>
          <w:rFonts w:ascii="Times New Roman" w:hAnsi="Times New Roman" w:cs="Times New Roman"/>
          <w:sz w:val="24"/>
          <w:szCs w:val="24"/>
        </w:rPr>
        <w:t>530,89</w:t>
      </w:r>
      <w:r w:rsidR="0028696B">
        <w:rPr>
          <w:rFonts w:ascii="Times New Roman" w:hAnsi="Times New Roman" w:cs="Times New Roman"/>
          <w:sz w:val="24"/>
          <w:szCs w:val="24"/>
        </w:rPr>
        <w:t xml:space="preserve"> eura</w:t>
      </w:r>
      <w:bookmarkStart w:id="0" w:name="_GoBack"/>
      <w:bookmarkEnd w:id="0"/>
      <w:r w:rsidR="0028696B">
        <w:rPr>
          <w:rFonts w:ascii="Times New Roman" w:hAnsi="Times New Roman" w:cs="Times New Roman"/>
          <w:sz w:val="24"/>
          <w:szCs w:val="24"/>
        </w:rPr>
        <w:t>.</w:t>
      </w:r>
      <w:r w:rsidR="00071FEA">
        <w:rPr>
          <w:rFonts w:ascii="Times New Roman" w:hAnsi="Times New Roman" w:cs="Times New Roman"/>
          <w:sz w:val="24"/>
          <w:szCs w:val="24"/>
        </w:rPr>
        <w:t xml:space="preserve"> Planirani prihodi planirani su prema stvarnim našim potrebama, a sve prema tabeli financijsko plana za 2023.g, 2024.g. i 2025.g.</w:t>
      </w:r>
    </w:p>
    <w:p w:rsidR="004A5AE3" w:rsidRDefault="004A5AE3" w:rsidP="00CB6476">
      <w:pPr>
        <w:jc w:val="both"/>
        <w:rPr>
          <w:rFonts w:ascii="Times New Roman" w:hAnsi="Times New Roman" w:cs="Times New Roman"/>
          <w:sz w:val="24"/>
          <w:szCs w:val="24"/>
        </w:rPr>
      </w:pPr>
    </w:p>
    <w:p w:rsidR="004A5AE3" w:rsidRDefault="004A5AE3" w:rsidP="00CB6476">
      <w:pPr>
        <w:jc w:val="both"/>
        <w:rPr>
          <w:rFonts w:ascii="Times New Roman" w:hAnsi="Times New Roman" w:cs="Times New Roman"/>
          <w:sz w:val="24"/>
          <w:szCs w:val="24"/>
        </w:rPr>
      </w:pPr>
      <w:r>
        <w:rPr>
          <w:rFonts w:ascii="Times New Roman" w:hAnsi="Times New Roman" w:cs="Times New Roman"/>
          <w:sz w:val="24"/>
          <w:szCs w:val="24"/>
        </w:rPr>
        <w:t>RASHODI I IZDACI</w:t>
      </w:r>
    </w:p>
    <w:p w:rsidR="004A5AE3" w:rsidRDefault="004A5AE3" w:rsidP="00CB6476">
      <w:pPr>
        <w:jc w:val="both"/>
        <w:rPr>
          <w:rFonts w:ascii="Times New Roman" w:hAnsi="Times New Roman" w:cs="Times New Roman"/>
          <w:sz w:val="24"/>
          <w:szCs w:val="24"/>
        </w:rPr>
      </w:pPr>
      <w:r>
        <w:rPr>
          <w:rFonts w:ascii="Times New Roman" w:hAnsi="Times New Roman" w:cs="Times New Roman"/>
          <w:sz w:val="24"/>
          <w:szCs w:val="24"/>
        </w:rPr>
        <w:t xml:space="preserve">Ukupno planirani rashodi i izdaci odnose se na konto 31- rashodi za zaposlene, 32 – materijalni rashodi i 34 – financijski rashodi. Iznosi za pojedine vrste rashoda po godinama nalaze se u </w:t>
      </w:r>
      <w:r w:rsidR="00EC7B1D">
        <w:rPr>
          <w:rFonts w:ascii="Times New Roman" w:hAnsi="Times New Roman" w:cs="Times New Roman"/>
          <w:sz w:val="24"/>
          <w:szCs w:val="24"/>
        </w:rPr>
        <w:t xml:space="preserve">priloženim tablicama. Rashodi za zaposlene odnose se na obračunate plaće za stvaran broj zaposlenih sa doprinosima na bruto plaću,  ostale rashode za zaposlene  (regres za godišnji odmor, božićnica, jubilarne nagrade, pomoći za bolovanje,smrtni slučaj, dar za sv. Nikolu) realno procijenjeno prema </w:t>
      </w:r>
      <w:r w:rsidR="009B0957">
        <w:rPr>
          <w:rFonts w:ascii="Times New Roman" w:hAnsi="Times New Roman" w:cs="Times New Roman"/>
          <w:sz w:val="24"/>
          <w:szCs w:val="24"/>
        </w:rPr>
        <w:t>broju službenika i namještenika koji ostvaruju pravo na isplate ostalih rashoda za zaposlene.</w:t>
      </w:r>
      <w:r w:rsidR="001E6A79">
        <w:rPr>
          <w:rFonts w:ascii="Times New Roman" w:hAnsi="Times New Roman" w:cs="Times New Roman"/>
          <w:sz w:val="24"/>
          <w:szCs w:val="24"/>
        </w:rPr>
        <w:t xml:space="preserve"> U 2024.g. rashodi za zaposlene su povećani u odnosu na 2023.g.iz razloga što u toj godini pet službenika i namještenika ostvaruju pravo na isplatu jubilarne nagrade, dok u 2023.g. imamo samo dvije jubilarne nagrade, a svi rashodi u objašnjeni u Tabeli 2 – Obrazloženje posebnog dijela 2023, 2024 i 2025.g.</w:t>
      </w:r>
    </w:p>
    <w:p w:rsidR="009B0957" w:rsidRDefault="009B0957" w:rsidP="00CB6476">
      <w:pPr>
        <w:jc w:val="both"/>
        <w:rPr>
          <w:rFonts w:ascii="Times New Roman" w:hAnsi="Times New Roman" w:cs="Times New Roman"/>
          <w:sz w:val="24"/>
          <w:szCs w:val="24"/>
        </w:rPr>
      </w:pPr>
    </w:p>
    <w:p w:rsidR="009B0957" w:rsidRDefault="009B0957" w:rsidP="00CB6476">
      <w:pPr>
        <w:jc w:val="both"/>
        <w:rPr>
          <w:rFonts w:ascii="Times New Roman" w:hAnsi="Times New Roman" w:cs="Times New Roman"/>
          <w:sz w:val="24"/>
          <w:szCs w:val="24"/>
        </w:rPr>
      </w:pPr>
      <w:r>
        <w:rPr>
          <w:rFonts w:ascii="Times New Roman" w:hAnsi="Times New Roman" w:cs="Times New Roman"/>
          <w:sz w:val="24"/>
          <w:szCs w:val="24"/>
        </w:rPr>
        <w:t>PRIJENOS SREDSTAVA IZ PRETHODNE I U SLJEDEĆU GODINU</w:t>
      </w:r>
    </w:p>
    <w:p w:rsidR="009B0957" w:rsidRDefault="009B0957" w:rsidP="00CB6476">
      <w:pPr>
        <w:jc w:val="both"/>
        <w:rPr>
          <w:rFonts w:ascii="Times New Roman" w:hAnsi="Times New Roman" w:cs="Times New Roman"/>
          <w:sz w:val="24"/>
          <w:szCs w:val="24"/>
        </w:rPr>
      </w:pPr>
      <w:r>
        <w:rPr>
          <w:rFonts w:ascii="Times New Roman" w:hAnsi="Times New Roman" w:cs="Times New Roman"/>
          <w:sz w:val="24"/>
          <w:szCs w:val="24"/>
        </w:rPr>
        <w:t>Prijenos sredstava iz prethodne i u sljedeću godinu nemamo.</w:t>
      </w:r>
    </w:p>
    <w:p w:rsidR="009B0957" w:rsidRDefault="009B0957" w:rsidP="00CB6476">
      <w:pPr>
        <w:jc w:val="both"/>
        <w:rPr>
          <w:rFonts w:ascii="Times New Roman" w:hAnsi="Times New Roman" w:cs="Times New Roman"/>
          <w:sz w:val="24"/>
          <w:szCs w:val="24"/>
        </w:rPr>
      </w:pPr>
    </w:p>
    <w:p w:rsidR="009B0957" w:rsidRDefault="009B0957" w:rsidP="00CB6476">
      <w:pPr>
        <w:jc w:val="both"/>
        <w:rPr>
          <w:rFonts w:ascii="Times New Roman" w:hAnsi="Times New Roman" w:cs="Times New Roman"/>
          <w:sz w:val="24"/>
          <w:szCs w:val="24"/>
        </w:rPr>
      </w:pPr>
      <w:r>
        <w:rPr>
          <w:rFonts w:ascii="Times New Roman" w:hAnsi="Times New Roman" w:cs="Times New Roman"/>
          <w:sz w:val="24"/>
          <w:szCs w:val="24"/>
        </w:rPr>
        <w:t>UKUPNE I DOSPJELE OBVEZE</w:t>
      </w:r>
    </w:p>
    <w:tbl>
      <w:tblPr>
        <w:tblStyle w:val="Reetkatablice"/>
        <w:tblW w:w="0" w:type="auto"/>
        <w:tblLook w:val="04A0" w:firstRow="1" w:lastRow="0" w:firstColumn="1" w:lastColumn="0" w:noHBand="0" w:noVBand="1"/>
      </w:tblPr>
      <w:tblGrid>
        <w:gridCol w:w="1951"/>
        <w:gridCol w:w="3686"/>
        <w:gridCol w:w="3651"/>
      </w:tblGrid>
      <w:tr w:rsidR="008041E6" w:rsidTr="008041E6">
        <w:tc>
          <w:tcPr>
            <w:tcW w:w="1951" w:type="dxa"/>
          </w:tcPr>
          <w:p w:rsidR="008041E6" w:rsidRDefault="008041E6" w:rsidP="00CB6476">
            <w:pPr>
              <w:jc w:val="both"/>
              <w:rPr>
                <w:rFonts w:ascii="Times New Roman" w:hAnsi="Times New Roman" w:cs="Times New Roman"/>
                <w:sz w:val="24"/>
                <w:szCs w:val="24"/>
              </w:rPr>
            </w:pPr>
          </w:p>
        </w:tc>
        <w:tc>
          <w:tcPr>
            <w:tcW w:w="3686"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Stanje obveza na dan 31.12.2021.</w:t>
            </w:r>
          </w:p>
        </w:tc>
        <w:tc>
          <w:tcPr>
            <w:tcW w:w="3651"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Stanje obveze na dan 30.06.2022</w:t>
            </w:r>
          </w:p>
        </w:tc>
      </w:tr>
      <w:tr w:rsidR="008041E6" w:rsidTr="008041E6">
        <w:tc>
          <w:tcPr>
            <w:tcW w:w="1951"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Ukupne obveze</w:t>
            </w:r>
          </w:p>
        </w:tc>
        <w:tc>
          <w:tcPr>
            <w:tcW w:w="3686" w:type="dxa"/>
          </w:tcPr>
          <w:p w:rsidR="008041E6" w:rsidRDefault="008041E6" w:rsidP="007D3B20">
            <w:pPr>
              <w:jc w:val="both"/>
              <w:rPr>
                <w:rFonts w:ascii="Times New Roman" w:hAnsi="Times New Roman" w:cs="Times New Roman"/>
                <w:sz w:val="24"/>
                <w:szCs w:val="24"/>
              </w:rPr>
            </w:pPr>
            <w:r>
              <w:rPr>
                <w:rFonts w:ascii="Times New Roman" w:hAnsi="Times New Roman" w:cs="Times New Roman"/>
                <w:sz w:val="24"/>
                <w:szCs w:val="24"/>
              </w:rPr>
              <w:t>97.580,89</w:t>
            </w:r>
            <w:r w:rsidR="007D3B20">
              <w:rPr>
                <w:rFonts w:ascii="Times New Roman" w:hAnsi="Times New Roman" w:cs="Times New Roman"/>
                <w:sz w:val="24"/>
                <w:szCs w:val="24"/>
              </w:rPr>
              <w:t xml:space="preserve"> kn  (12.951,00 eura)</w:t>
            </w:r>
          </w:p>
        </w:tc>
        <w:tc>
          <w:tcPr>
            <w:tcW w:w="3651"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116.672,24</w:t>
            </w:r>
            <w:r w:rsidR="007D3B20">
              <w:rPr>
                <w:rFonts w:ascii="Times New Roman" w:hAnsi="Times New Roman" w:cs="Times New Roman"/>
                <w:sz w:val="24"/>
                <w:szCs w:val="24"/>
              </w:rPr>
              <w:t xml:space="preserve">  (15.485,00 eura)</w:t>
            </w:r>
          </w:p>
        </w:tc>
      </w:tr>
      <w:tr w:rsidR="008041E6" w:rsidTr="008041E6">
        <w:tc>
          <w:tcPr>
            <w:tcW w:w="1951"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Dospjele obveze</w:t>
            </w:r>
          </w:p>
        </w:tc>
        <w:tc>
          <w:tcPr>
            <w:tcW w:w="3686" w:type="dxa"/>
          </w:tcPr>
          <w:p w:rsidR="008041E6" w:rsidRDefault="008041E6" w:rsidP="00CB6476">
            <w:pPr>
              <w:jc w:val="both"/>
              <w:rPr>
                <w:rFonts w:ascii="Times New Roman" w:hAnsi="Times New Roman" w:cs="Times New Roman"/>
                <w:sz w:val="24"/>
                <w:szCs w:val="24"/>
              </w:rPr>
            </w:pPr>
          </w:p>
        </w:tc>
        <w:tc>
          <w:tcPr>
            <w:tcW w:w="3651" w:type="dxa"/>
          </w:tcPr>
          <w:p w:rsidR="008041E6" w:rsidRDefault="008041E6" w:rsidP="00CB6476">
            <w:pPr>
              <w:jc w:val="both"/>
              <w:rPr>
                <w:rFonts w:ascii="Times New Roman" w:hAnsi="Times New Roman" w:cs="Times New Roman"/>
                <w:sz w:val="24"/>
                <w:szCs w:val="24"/>
              </w:rPr>
            </w:pPr>
            <w:r>
              <w:rPr>
                <w:rFonts w:ascii="Times New Roman" w:hAnsi="Times New Roman" w:cs="Times New Roman"/>
                <w:sz w:val="24"/>
                <w:szCs w:val="24"/>
              </w:rPr>
              <w:t xml:space="preserve">    8.451,92</w:t>
            </w:r>
            <w:r w:rsidR="007D3B20">
              <w:rPr>
                <w:rFonts w:ascii="Times New Roman" w:hAnsi="Times New Roman" w:cs="Times New Roman"/>
                <w:sz w:val="24"/>
                <w:szCs w:val="24"/>
              </w:rPr>
              <w:t xml:space="preserve">  (1.122,00 eura)</w:t>
            </w:r>
          </w:p>
        </w:tc>
      </w:tr>
    </w:tbl>
    <w:p w:rsidR="009B0957" w:rsidRDefault="009B0957" w:rsidP="00CB6476">
      <w:pPr>
        <w:jc w:val="both"/>
        <w:rPr>
          <w:rFonts w:ascii="Times New Roman" w:hAnsi="Times New Roman" w:cs="Times New Roman"/>
          <w:sz w:val="24"/>
          <w:szCs w:val="24"/>
        </w:rPr>
      </w:pPr>
    </w:p>
    <w:p w:rsidR="00C47F7D" w:rsidRPr="00C47F7D" w:rsidRDefault="00C47F7D" w:rsidP="00CB6476">
      <w:pPr>
        <w:pStyle w:val="Bezproreda"/>
        <w:jc w:val="both"/>
      </w:pPr>
    </w:p>
    <w:sectPr w:rsidR="00C47F7D" w:rsidRPr="00C47F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B7"/>
    <w:rsid w:val="00071FEA"/>
    <w:rsid w:val="00164943"/>
    <w:rsid w:val="001964F7"/>
    <w:rsid w:val="001E6A79"/>
    <w:rsid w:val="00222645"/>
    <w:rsid w:val="0028696B"/>
    <w:rsid w:val="002E2A7A"/>
    <w:rsid w:val="0032108A"/>
    <w:rsid w:val="004A5AE3"/>
    <w:rsid w:val="0076507A"/>
    <w:rsid w:val="007D3B20"/>
    <w:rsid w:val="008041E6"/>
    <w:rsid w:val="009014F6"/>
    <w:rsid w:val="009B0957"/>
    <w:rsid w:val="00A701B7"/>
    <w:rsid w:val="00AA028B"/>
    <w:rsid w:val="00AB5C6E"/>
    <w:rsid w:val="00C47A7C"/>
    <w:rsid w:val="00C47F7D"/>
    <w:rsid w:val="00CB6476"/>
    <w:rsid w:val="00D86B30"/>
    <w:rsid w:val="00DC7452"/>
    <w:rsid w:val="00DD5C4A"/>
    <w:rsid w:val="00EC7B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47F7D"/>
    <w:pPr>
      <w:spacing w:after="0" w:line="240" w:lineRule="auto"/>
    </w:pPr>
  </w:style>
  <w:style w:type="table" w:styleId="Reetkatablice">
    <w:name w:val="Table Grid"/>
    <w:basedOn w:val="Obinatablica"/>
    <w:uiPriority w:val="59"/>
    <w:rsid w:val="0080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47F7D"/>
    <w:pPr>
      <w:spacing w:after="0" w:line="240" w:lineRule="auto"/>
    </w:pPr>
  </w:style>
  <w:style w:type="table" w:styleId="Reetkatablice">
    <w:name w:val="Table Grid"/>
    <w:basedOn w:val="Obinatablica"/>
    <w:uiPriority w:val="59"/>
    <w:rsid w:val="0080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6EB7-CA56-4314-9E0B-0FD5189A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1604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Kocanjer</dc:creator>
  <cp:lastModifiedBy>Barka Lakner</cp:lastModifiedBy>
  <cp:revision>3</cp:revision>
  <cp:lastPrinted>2022-01-31T06:15:00Z</cp:lastPrinted>
  <dcterms:created xsi:type="dcterms:W3CDTF">2022-12-21T11:23:00Z</dcterms:created>
  <dcterms:modified xsi:type="dcterms:W3CDTF">2022-12-21T12:38:00Z</dcterms:modified>
</cp:coreProperties>
</file>