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103672" w:rsidRDefault="000A3314" w:rsidP="000A3314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 w:rsidRPr="00103672"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7.a Obrazloženje općeg dijela financijskog plana </w:t>
      </w:r>
    </w:p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</w:p>
    <w:p w:rsidR="000A3314" w:rsidRPr="00DC2A2D" w:rsidRDefault="000A3314" w:rsidP="000A3314">
      <w:pPr>
        <w:jc w:val="both"/>
        <w:rPr>
          <w:rFonts w:ascii="Arial" w:hAnsi="Arial" w:cs="Arial"/>
          <w:b/>
          <w:i/>
          <w:szCs w:val="24"/>
          <w:lang w:val="hr-HR"/>
        </w:rPr>
      </w:pPr>
      <w:r w:rsidRPr="00DC2A2D">
        <w:rPr>
          <w:rFonts w:ascii="Arial" w:hAnsi="Arial" w:cs="Arial"/>
          <w:b/>
          <w:i/>
          <w:szCs w:val="24"/>
          <w:lang w:val="hr-HR"/>
        </w:rPr>
        <w:t>NAZIV PRORAČUNSKOG KORISNIKA:</w:t>
      </w:r>
      <w:r w:rsidRPr="00DC2A2D">
        <w:rPr>
          <w:rFonts w:ascii="Arial" w:hAnsi="Arial" w:cs="Arial"/>
          <w:b/>
          <w:i/>
          <w:szCs w:val="24"/>
          <w:lang w:val="hr-HR"/>
        </w:rPr>
        <w:tab/>
      </w: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471FCC">
        <w:rPr>
          <w:rFonts w:ascii="Arial" w:hAnsi="Arial" w:cs="Arial"/>
          <w:b/>
          <w:szCs w:val="24"/>
          <w:u w:val="single"/>
          <w:lang w:val="hr-HR"/>
        </w:rPr>
        <w:t>ŽUPANIJSKO DRŽAVNO ODVJETNIŠTVO U PULI-POLA</w:t>
      </w: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RAZDJEL:</w:t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109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GLAVA:</w:t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75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RKDP:</w:t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3646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 xml:space="preserve">MATIČNI BROJ: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3204154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  <w:r w:rsidRPr="000A3314">
        <w:rPr>
          <w:rFonts w:ascii="Arial" w:hAnsi="Arial" w:cs="Arial"/>
          <w:b/>
          <w:szCs w:val="24"/>
          <w:lang w:val="hr-HR"/>
        </w:rPr>
        <w:t>OIB:</w:t>
      </w:r>
      <w:r w:rsidRPr="000A3314">
        <w:rPr>
          <w:rFonts w:ascii="Arial" w:hAnsi="Arial" w:cs="Arial"/>
          <w:b/>
          <w:szCs w:val="24"/>
          <w:lang w:val="hr-HR"/>
        </w:rPr>
        <w:tab/>
      </w:r>
      <w:r w:rsidRPr="000A3314">
        <w:rPr>
          <w:rFonts w:ascii="Arial" w:hAnsi="Arial" w:cs="Arial"/>
          <w:b/>
          <w:szCs w:val="24"/>
          <w:lang w:val="hr-HR"/>
        </w:rPr>
        <w:tab/>
        <w:t xml:space="preserve">       </w:t>
      </w:r>
      <w:r w:rsidRPr="000A3314">
        <w:rPr>
          <w:rFonts w:ascii="Arial" w:hAnsi="Arial" w:cs="Arial"/>
          <w:b/>
          <w:szCs w:val="24"/>
          <w:u w:val="single"/>
          <w:lang w:val="hr-HR"/>
        </w:rPr>
        <w:t>93993757343</w:t>
      </w:r>
    </w:p>
    <w:p w:rsidR="000A3314" w:rsidRPr="000A3314" w:rsidRDefault="000A3314" w:rsidP="000A3314">
      <w:pPr>
        <w:jc w:val="both"/>
        <w:rPr>
          <w:rFonts w:ascii="Arial" w:hAnsi="Arial" w:cs="Arial"/>
          <w:b/>
          <w:szCs w:val="24"/>
          <w:lang w:val="hr-HR"/>
        </w:rPr>
      </w:pPr>
    </w:p>
    <w:p w:rsidR="000A3314" w:rsidRPr="0011417E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Pr="006A72E5" w:rsidRDefault="000A3314" w:rsidP="000A3314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OPĆEG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0A3314" w:rsidRPr="006A72E5" w:rsidRDefault="000A3314" w:rsidP="000A3314">
      <w:pPr>
        <w:jc w:val="center"/>
        <w:rPr>
          <w:rFonts w:ascii="Arial" w:hAnsi="Arial" w:cs="Arial"/>
          <w:b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rPr>
          <w:rFonts w:ascii="Arial" w:hAnsi="Arial" w:cs="Arial"/>
          <w:b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0A3314" w:rsidRPr="006A72E5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0A3314" w:rsidRPr="006A72E5" w:rsidRDefault="000A3314" w:rsidP="000A3314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0A3314" w:rsidRPr="006A72E5" w:rsidRDefault="000A3314" w:rsidP="000A3314">
      <w:pPr>
        <w:pStyle w:val="Tijeloteksta"/>
        <w:rPr>
          <w:rFonts w:ascii="Arial" w:hAnsi="Arial" w:cs="Arial"/>
          <w:szCs w:val="24"/>
        </w:rPr>
      </w:pPr>
    </w:p>
    <w:p w:rsidR="000A3314" w:rsidRDefault="00DC2A2D" w:rsidP="000A3314">
      <w:pPr>
        <w:jc w:val="both"/>
        <w:rPr>
          <w:rFonts w:ascii="Arial" w:hAnsi="Arial" w:cs="Arial"/>
          <w:szCs w:val="24"/>
          <w:lang w:val="hr-HR"/>
        </w:rPr>
      </w:pPr>
      <w:proofErr w:type="spellStart"/>
      <w:r>
        <w:rPr>
          <w:rFonts w:ascii="Arial" w:hAnsi="Arial" w:cs="Arial"/>
          <w:szCs w:val="24"/>
        </w:rPr>
        <w:t>Županijsko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državno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odvjetništvo</w:t>
      </w:r>
      <w:proofErr w:type="spellEnd"/>
      <w:r w:rsidR="000A3314" w:rsidRPr="006A72E5">
        <w:rPr>
          <w:rFonts w:ascii="Arial" w:hAnsi="Arial" w:cs="Arial"/>
          <w:szCs w:val="24"/>
        </w:rPr>
        <w:t xml:space="preserve"> u  Puli - </w:t>
      </w:r>
      <w:proofErr w:type="spellStart"/>
      <w:r w:rsidR="000A3314" w:rsidRPr="006A72E5">
        <w:rPr>
          <w:rFonts w:ascii="Arial" w:hAnsi="Arial" w:cs="Arial"/>
          <w:szCs w:val="24"/>
        </w:rPr>
        <w:t>Pola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financira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nastale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rashode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iz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prihoda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ostvarenih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iz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Državnog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proračuna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Republike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Hrvatske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iz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izvora</w:t>
      </w:r>
      <w:proofErr w:type="spellEnd"/>
      <w:r w:rsidR="000A3314">
        <w:rPr>
          <w:rFonts w:ascii="Arial" w:hAnsi="Arial" w:cs="Arial"/>
          <w:szCs w:val="24"/>
        </w:rPr>
        <w:t xml:space="preserve"> 11 </w:t>
      </w:r>
      <w:proofErr w:type="spellStart"/>
      <w:r w:rsidR="000A3314">
        <w:rPr>
          <w:rFonts w:ascii="Arial" w:hAnsi="Arial" w:cs="Arial"/>
          <w:szCs w:val="24"/>
        </w:rPr>
        <w:t>Opći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prihodi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i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primici</w:t>
      </w:r>
      <w:proofErr w:type="spellEnd"/>
      <w:r w:rsidR="000A3314" w:rsidRPr="006A72E5">
        <w:rPr>
          <w:rFonts w:ascii="Arial" w:hAnsi="Arial" w:cs="Arial"/>
          <w:szCs w:val="24"/>
        </w:rPr>
        <w:t xml:space="preserve">, </w:t>
      </w:r>
      <w:proofErr w:type="spellStart"/>
      <w:r w:rsidR="000A3314">
        <w:rPr>
          <w:rFonts w:ascii="Arial" w:hAnsi="Arial" w:cs="Arial"/>
          <w:szCs w:val="24"/>
        </w:rPr>
        <w:t>dok</w:t>
      </w:r>
      <w:proofErr w:type="spellEnd"/>
      <w:r w:rsidR="000A3314">
        <w:rPr>
          <w:rFonts w:ascii="Arial" w:hAnsi="Arial" w:cs="Arial"/>
          <w:szCs w:val="24"/>
        </w:rPr>
        <w:t xml:space="preserve"> se </w:t>
      </w:r>
      <w:r w:rsidR="000A3314" w:rsidRPr="006A72E5">
        <w:rPr>
          <w:rFonts w:ascii="Arial" w:hAnsi="Arial" w:cs="Arial"/>
          <w:szCs w:val="24"/>
        </w:rPr>
        <w:t xml:space="preserve">u </w:t>
      </w:r>
      <w:proofErr w:type="spellStart"/>
      <w:r w:rsidR="000A3314">
        <w:rPr>
          <w:rFonts w:ascii="Arial" w:hAnsi="Arial" w:cs="Arial"/>
          <w:szCs w:val="24"/>
        </w:rPr>
        <w:t>manjem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dijelu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planira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ostvariti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prihod</w:t>
      </w:r>
      <w:r w:rsidR="000A3314">
        <w:rPr>
          <w:rFonts w:ascii="Arial" w:hAnsi="Arial" w:cs="Arial"/>
          <w:szCs w:val="24"/>
        </w:rPr>
        <w:t>e</w:t>
      </w:r>
      <w:proofErr w:type="spellEnd"/>
      <w:r w:rsidR="000A3314" w:rsidRPr="006A72E5">
        <w:rPr>
          <w:rFonts w:ascii="Arial" w:hAnsi="Arial" w:cs="Arial"/>
          <w:szCs w:val="24"/>
        </w:rPr>
        <w:t xml:space="preserve"> s </w:t>
      </w:r>
      <w:proofErr w:type="spellStart"/>
      <w:r w:rsidR="000A3314" w:rsidRPr="006A72E5">
        <w:rPr>
          <w:rFonts w:ascii="Arial" w:hAnsi="Arial" w:cs="Arial"/>
          <w:szCs w:val="24"/>
        </w:rPr>
        <w:t>osnove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naplate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troškova</w:t>
      </w:r>
      <w:proofErr w:type="spellEnd"/>
      <w:r w:rsidR="000A3314" w:rsidRPr="006A72E5">
        <w:rPr>
          <w:rFonts w:ascii="Arial" w:hAnsi="Arial" w:cs="Arial"/>
          <w:szCs w:val="24"/>
        </w:rPr>
        <w:t xml:space="preserve">  </w:t>
      </w:r>
      <w:proofErr w:type="spellStart"/>
      <w:r w:rsidR="000A3314" w:rsidRPr="006A72E5">
        <w:rPr>
          <w:rFonts w:ascii="Arial" w:hAnsi="Arial" w:cs="Arial"/>
          <w:szCs w:val="24"/>
        </w:rPr>
        <w:t>preslika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sudskih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akata</w:t>
      </w:r>
      <w:proofErr w:type="spellEnd"/>
      <w:r w:rsidR="000A3314">
        <w:rPr>
          <w:rFonts w:ascii="Arial" w:hAnsi="Arial" w:cs="Arial"/>
          <w:szCs w:val="24"/>
        </w:rPr>
        <w:t xml:space="preserve"> – </w:t>
      </w:r>
      <w:proofErr w:type="spellStart"/>
      <w:r w:rsidR="000A3314">
        <w:rPr>
          <w:rFonts w:ascii="Arial" w:hAnsi="Arial" w:cs="Arial"/>
          <w:szCs w:val="24"/>
        </w:rPr>
        <w:t>spisa</w:t>
      </w:r>
      <w:proofErr w:type="spellEnd"/>
      <w:r w:rsidR="000A3314">
        <w:rPr>
          <w:rFonts w:ascii="Arial" w:hAnsi="Arial" w:cs="Arial"/>
          <w:szCs w:val="24"/>
        </w:rPr>
        <w:t xml:space="preserve">, </w:t>
      </w:r>
      <w:proofErr w:type="spellStart"/>
      <w:r w:rsidR="000A3314">
        <w:rPr>
          <w:rFonts w:ascii="Arial" w:hAnsi="Arial" w:cs="Arial"/>
          <w:szCs w:val="24"/>
        </w:rPr>
        <w:t>i</w:t>
      </w:r>
      <w:proofErr w:type="spellEnd"/>
      <w:r w:rsidR="000A3314">
        <w:rPr>
          <w:rFonts w:ascii="Arial" w:hAnsi="Arial" w:cs="Arial"/>
          <w:szCs w:val="24"/>
        </w:rPr>
        <w:t xml:space="preserve"> to </w:t>
      </w:r>
      <w:proofErr w:type="spellStart"/>
      <w:r w:rsidR="000A3314">
        <w:rPr>
          <w:rFonts w:ascii="Arial" w:hAnsi="Arial" w:cs="Arial"/>
          <w:szCs w:val="24"/>
        </w:rPr>
        <w:t>iznos</w:t>
      </w:r>
      <w:proofErr w:type="spellEnd"/>
      <w:r w:rsidR="000A3314">
        <w:rPr>
          <w:rFonts w:ascii="Arial" w:hAnsi="Arial" w:cs="Arial"/>
          <w:szCs w:val="24"/>
        </w:rPr>
        <w:t xml:space="preserve"> od</w:t>
      </w:r>
      <w:r>
        <w:rPr>
          <w:rFonts w:ascii="Arial" w:hAnsi="Arial" w:cs="Arial"/>
          <w:szCs w:val="24"/>
        </w:rPr>
        <w:t xml:space="preserve"> 664</w:t>
      </w:r>
      <w:r w:rsidR="000A3314">
        <w:rPr>
          <w:rFonts w:ascii="Arial" w:hAnsi="Arial" w:cs="Arial"/>
          <w:szCs w:val="24"/>
        </w:rPr>
        <w:t xml:space="preserve"> </w:t>
      </w:r>
      <w:proofErr w:type="spellStart"/>
      <w:r w:rsidR="000A3314">
        <w:rPr>
          <w:rFonts w:ascii="Arial" w:hAnsi="Arial" w:cs="Arial"/>
          <w:szCs w:val="24"/>
        </w:rPr>
        <w:t>eura</w:t>
      </w:r>
      <w:proofErr w:type="spellEnd"/>
      <w:r w:rsidR="000A3314">
        <w:rPr>
          <w:rFonts w:ascii="Arial" w:hAnsi="Arial" w:cs="Arial"/>
          <w:szCs w:val="24"/>
        </w:rPr>
        <w:t xml:space="preserve"> </w:t>
      </w:r>
      <w:r w:rsidR="000A3314" w:rsidRPr="006A72E5">
        <w:rPr>
          <w:rFonts w:ascii="Arial" w:hAnsi="Arial" w:cs="Arial"/>
          <w:szCs w:val="24"/>
        </w:rPr>
        <w:t xml:space="preserve">. </w:t>
      </w:r>
      <w:proofErr w:type="spellStart"/>
      <w:r w:rsidR="000A3314" w:rsidRPr="006A72E5">
        <w:rPr>
          <w:rFonts w:ascii="Arial" w:hAnsi="Arial" w:cs="Arial"/>
          <w:szCs w:val="24"/>
        </w:rPr>
        <w:t>Planirani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r w:rsidR="000A3314" w:rsidRPr="006A72E5">
        <w:rPr>
          <w:rFonts w:ascii="Arial" w:hAnsi="Arial" w:cs="Arial"/>
          <w:i/>
          <w:szCs w:val="24"/>
        </w:rPr>
        <w:t>(</w:t>
      </w:r>
      <w:proofErr w:type="spellStart"/>
      <w:r w:rsidR="000A3314" w:rsidRPr="006A72E5">
        <w:rPr>
          <w:rFonts w:ascii="Arial" w:hAnsi="Arial" w:cs="Arial"/>
          <w:i/>
          <w:szCs w:val="24"/>
        </w:rPr>
        <w:t>ostvareni</w:t>
      </w:r>
      <w:proofErr w:type="spellEnd"/>
      <w:r w:rsidR="000A3314" w:rsidRPr="006A72E5">
        <w:rPr>
          <w:rFonts w:ascii="Arial" w:hAnsi="Arial" w:cs="Arial"/>
          <w:i/>
          <w:szCs w:val="24"/>
        </w:rPr>
        <w:t>)</w:t>
      </w:r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vlastiti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prihodi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utrošit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="000A3314" w:rsidRPr="006A72E5">
        <w:rPr>
          <w:rFonts w:ascii="Arial" w:hAnsi="Arial" w:cs="Arial"/>
          <w:szCs w:val="24"/>
        </w:rPr>
        <w:t>će</w:t>
      </w:r>
      <w:proofErr w:type="spellEnd"/>
      <w:proofErr w:type="gramEnd"/>
      <w:r w:rsidR="000A3314" w:rsidRPr="006A72E5">
        <w:rPr>
          <w:rFonts w:ascii="Arial" w:hAnsi="Arial" w:cs="Arial"/>
          <w:szCs w:val="24"/>
        </w:rPr>
        <w:t xml:space="preserve"> se </w:t>
      </w:r>
      <w:proofErr w:type="spellStart"/>
      <w:r w:rsidR="000A3314" w:rsidRPr="006A72E5">
        <w:rPr>
          <w:rFonts w:ascii="Arial" w:hAnsi="Arial" w:cs="Arial"/>
          <w:szCs w:val="24"/>
        </w:rPr>
        <w:t>za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kupnju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uredskog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materijala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i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ostalih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materijalnih</w:t>
      </w:r>
      <w:proofErr w:type="spellEnd"/>
      <w:r w:rsidR="000A3314" w:rsidRPr="006A72E5">
        <w:rPr>
          <w:rFonts w:ascii="Arial" w:hAnsi="Arial" w:cs="Arial"/>
          <w:szCs w:val="24"/>
        </w:rPr>
        <w:t xml:space="preserve"> </w:t>
      </w:r>
      <w:proofErr w:type="spellStart"/>
      <w:r w:rsidR="000A3314" w:rsidRPr="006A72E5">
        <w:rPr>
          <w:rFonts w:ascii="Arial" w:hAnsi="Arial" w:cs="Arial"/>
          <w:szCs w:val="24"/>
        </w:rPr>
        <w:t>rashoda</w:t>
      </w:r>
      <w:proofErr w:type="spellEnd"/>
      <w:r w:rsidR="000A3314">
        <w:rPr>
          <w:rFonts w:ascii="Arial" w:hAnsi="Arial" w:cs="Arial"/>
          <w:szCs w:val="24"/>
        </w:rPr>
        <w:t>.</w:t>
      </w:r>
      <w:r w:rsidR="000A3314" w:rsidRPr="003428B6">
        <w:rPr>
          <w:rFonts w:ascii="Arial" w:hAnsi="Arial" w:cs="Arial"/>
          <w:szCs w:val="24"/>
          <w:lang w:val="hr-HR"/>
        </w:rPr>
        <w:t xml:space="preserve"> </w:t>
      </w:r>
      <w:r w:rsidR="000A3314">
        <w:rPr>
          <w:rFonts w:ascii="Arial" w:hAnsi="Arial" w:cs="Arial"/>
          <w:szCs w:val="24"/>
          <w:lang w:val="hr-HR"/>
        </w:rPr>
        <w:t>Vlastiti prihodi uplaćuju se na kraj</w:t>
      </w:r>
      <w:r w:rsidR="00C7393A">
        <w:rPr>
          <w:rFonts w:ascii="Arial" w:hAnsi="Arial" w:cs="Arial"/>
          <w:szCs w:val="24"/>
          <w:lang w:val="hr-HR"/>
        </w:rPr>
        <w:t>u</w:t>
      </w:r>
      <w:r w:rsidR="000A3314">
        <w:rPr>
          <w:rFonts w:ascii="Arial" w:hAnsi="Arial" w:cs="Arial"/>
          <w:szCs w:val="24"/>
          <w:lang w:val="hr-HR"/>
        </w:rPr>
        <w:t xml:space="preserve"> godine u Državni proračun te se povlače iz Riznice istovremeno kada i redovni materijalni rashodi za plaćanje tekućih rashoda koja su proračunom za 2023.- 2025. planirana na računu 3221 Uredski materijal </w:t>
      </w:r>
      <w:r>
        <w:rPr>
          <w:rFonts w:ascii="Arial" w:hAnsi="Arial" w:cs="Arial"/>
          <w:szCs w:val="24"/>
          <w:lang w:val="hr-HR"/>
        </w:rPr>
        <w:t>za sve tri naredne godine po 664</w:t>
      </w:r>
      <w:r w:rsidR="000A3314">
        <w:rPr>
          <w:rFonts w:ascii="Arial" w:hAnsi="Arial" w:cs="Arial"/>
          <w:szCs w:val="24"/>
          <w:lang w:val="hr-HR"/>
        </w:rPr>
        <w:t xml:space="preserve"> eura </w:t>
      </w:r>
      <w:r w:rsidR="00EE7E2B">
        <w:rPr>
          <w:rFonts w:ascii="Arial" w:hAnsi="Arial" w:cs="Arial"/>
          <w:szCs w:val="24"/>
          <w:lang w:val="hr-HR"/>
        </w:rPr>
        <w:t xml:space="preserve">unutar redovne aktivnosti Županijskog </w:t>
      </w:r>
      <w:r w:rsidR="000A3314">
        <w:rPr>
          <w:rFonts w:ascii="Arial" w:hAnsi="Arial" w:cs="Arial"/>
          <w:szCs w:val="24"/>
          <w:lang w:val="hr-HR"/>
        </w:rPr>
        <w:t>državnog odvjetništva u Puli-Pola kao proračunskog korisnika.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F0249E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Planirani prihodi i primici za 2023.godinu p</w:t>
      </w:r>
      <w:r w:rsidR="000020DE">
        <w:rPr>
          <w:rFonts w:ascii="Arial" w:hAnsi="Arial" w:cs="Arial"/>
          <w:szCs w:val="24"/>
          <w:lang w:val="hr-HR"/>
        </w:rPr>
        <w:t>lanirani su u iznosu od 1.099.676</w:t>
      </w:r>
      <w:r>
        <w:rPr>
          <w:rFonts w:ascii="Arial" w:hAnsi="Arial" w:cs="Arial"/>
          <w:szCs w:val="24"/>
          <w:lang w:val="hr-HR"/>
        </w:rPr>
        <w:t xml:space="preserve"> eura</w:t>
      </w:r>
      <w:r w:rsidR="00F0249E">
        <w:rPr>
          <w:rFonts w:ascii="Arial" w:hAnsi="Arial" w:cs="Arial"/>
          <w:szCs w:val="24"/>
          <w:lang w:val="hr-HR"/>
        </w:rPr>
        <w:t>,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od toga iz izvora 11 Opći prihodi i primi</w:t>
      </w:r>
      <w:r w:rsidR="000020DE">
        <w:rPr>
          <w:rFonts w:ascii="Arial" w:hAnsi="Arial" w:cs="Arial"/>
          <w:szCs w:val="24"/>
          <w:lang w:val="hr-HR"/>
        </w:rPr>
        <w:t>ci planirani su u iznosu 1.099.012</w:t>
      </w:r>
      <w:r>
        <w:rPr>
          <w:rFonts w:ascii="Arial" w:hAnsi="Arial" w:cs="Arial"/>
          <w:szCs w:val="24"/>
          <w:lang w:val="hr-HR"/>
        </w:rPr>
        <w:t xml:space="preserve"> eura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i iz izvora 31 Vlastiti prihodi </w:t>
      </w:r>
      <w:r w:rsidR="0082386F">
        <w:rPr>
          <w:rFonts w:ascii="Arial" w:hAnsi="Arial" w:cs="Arial"/>
          <w:szCs w:val="24"/>
          <w:lang w:val="hr-HR"/>
        </w:rPr>
        <w:t>664</w:t>
      </w:r>
      <w:r>
        <w:rPr>
          <w:rFonts w:ascii="Arial" w:hAnsi="Arial" w:cs="Arial"/>
          <w:szCs w:val="24"/>
          <w:lang w:val="hr-HR"/>
        </w:rPr>
        <w:t xml:space="preserve"> eura.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F0249E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Planirani prihodi i primici za 2024.godinu planirani su u iznosu od </w:t>
      </w:r>
      <w:r w:rsidR="00DB0340">
        <w:rPr>
          <w:rFonts w:ascii="Arial" w:hAnsi="Arial" w:cs="Arial"/>
          <w:szCs w:val="24"/>
          <w:lang w:val="hr-HR"/>
        </w:rPr>
        <w:t>1.131.823</w:t>
      </w:r>
      <w:r w:rsidR="00F0249E">
        <w:rPr>
          <w:rFonts w:ascii="Arial" w:hAnsi="Arial" w:cs="Arial"/>
          <w:szCs w:val="24"/>
          <w:lang w:val="hr-HR"/>
        </w:rPr>
        <w:t xml:space="preserve"> eura, 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od toga iz izvora 11 Opći prihodi i primici planirani su u iznosu </w:t>
      </w:r>
      <w:r w:rsidR="00DB0340">
        <w:rPr>
          <w:rFonts w:ascii="Arial" w:hAnsi="Arial" w:cs="Arial"/>
          <w:szCs w:val="24"/>
          <w:lang w:val="hr-HR"/>
        </w:rPr>
        <w:t>1.</w:t>
      </w:r>
      <w:r>
        <w:rPr>
          <w:rFonts w:ascii="Arial" w:hAnsi="Arial" w:cs="Arial"/>
          <w:szCs w:val="24"/>
          <w:lang w:val="hr-HR"/>
        </w:rPr>
        <w:t>1</w:t>
      </w:r>
      <w:r w:rsidR="00816CF0">
        <w:rPr>
          <w:rFonts w:ascii="Arial" w:hAnsi="Arial" w:cs="Arial"/>
          <w:szCs w:val="24"/>
          <w:lang w:val="hr-HR"/>
        </w:rPr>
        <w:t>31.159</w:t>
      </w:r>
      <w:r>
        <w:rPr>
          <w:rFonts w:ascii="Arial" w:hAnsi="Arial" w:cs="Arial"/>
          <w:szCs w:val="24"/>
          <w:lang w:val="hr-HR"/>
        </w:rPr>
        <w:t xml:space="preserve"> eura i i</w:t>
      </w:r>
      <w:r w:rsidR="0082386F">
        <w:rPr>
          <w:rFonts w:ascii="Arial" w:hAnsi="Arial" w:cs="Arial"/>
          <w:szCs w:val="24"/>
          <w:lang w:val="hr-HR"/>
        </w:rPr>
        <w:t>z izvora 31 Vlastiti prihodi 664</w:t>
      </w:r>
      <w:r w:rsidR="00F0249E">
        <w:rPr>
          <w:rFonts w:ascii="Arial" w:hAnsi="Arial" w:cs="Arial"/>
          <w:szCs w:val="24"/>
          <w:lang w:val="hr-HR"/>
        </w:rPr>
        <w:t xml:space="preserve"> eura</w:t>
      </w:r>
      <w:r>
        <w:rPr>
          <w:rFonts w:ascii="Arial" w:hAnsi="Arial" w:cs="Arial"/>
          <w:szCs w:val="24"/>
          <w:lang w:val="hr-HR"/>
        </w:rPr>
        <w:t>.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</w:p>
    <w:p w:rsidR="00F0249E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Planirani prihodi i primici za 2025.godinu planirani su u iznosu od </w:t>
      </w:r>
      <w:r w:rsidR="00816CF0">
        <w:rPr>
          <w:rFonts w:ascii="Arial" w:hAnsi="Arial" w:cs="Arial"/>
          <w:szCs w:val="24"/>
          <w:lang w:val="hr-HR"/>
        </w:rPr>
        <w:t>1.133.427</w:t>
      </w:r>
      <w:r w:rsidR="00F0249E">
        <w:rPr>
          <w:rFonts w:ascii="Arial" w:hAnsi="Arial" w:cs="Arial"/>
          <w:szCs w:val="24"/>
          <w:lang w:val="hr-HR"/>
        </w:rPr>
        <w:t xml:space="preserve"> eura, </w:t>
      </w:r>
    </w:p>
    <w:p w:rsidR="000A3314" w:rsidRDefault="000A3314" w:rsidP="000A331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od toga iz izvora 11 Opći prihodi i primici planirani su u iznosu </w:t>
      </w:r>
      <w:r w:rsidR="00816CF0">
        <w:rPr>
          <w:rFonts w:ascii="Arial" w:hAnsi="Arial" w:cs="Arial"/>
          <w:szCs w:val="24"/>
          <w:lang w:val="hr-HR"/>
        </w:rPr>
        <w:t>1.132.763</w:t>
      </w:r>
      <w:r>
        <w:rPr>
          <w:rFonts w:ascii="Arial" w:hAnsi="Arial" w:cs="Arial"/>
          <w:szCs w:val="24"/>
          <w:lang w:val="hr-HR"/>
        </w:rPr>
        <w:t xml:space="preserve"> eura i i</w:t>
      </w:r>
      <w:r w:rsidR="0082386F">
        <w:rPr>
          <w:rFonts w:ascii="Arial" w:hAnsi="Arial" w:cs="Arial"/>
          <w:szCs w:val="24"/>
          <w:lang w:val="hr-HR"/>
        </w:rPr>
        <w:t>z izvora 31 Vlastiti prihodi 664</w:t>
      </w:r>
      <w:r w:rsidR="00F0249E">
        <w:rPr>
          <w:rFonts w:ascii="Arial" w:hAnsi="Arial" w:cs="Arial"/>
          <w:szCs w:val="24"/>
          <w:lang w:val="hr-HR"/>
        </w:rPr>
        <w:t xml:space="preserve"> eura</w:t>
      </w:r>
      <w:r>
        <w:rPr>
          <w:rFonts w:ascii="Arial" w:hAnsi="Arial" w:cs="Arial"/>
          <w:szCs w:val="24"/>
          <w:lang w:val="hr-HR"/>
        </w:rPr>
        <w:t>.</w:t>
      </w:r>
    </w:p>
    <w:p w:rsidR="00EE7E2B" w:rsidRDefault="00EE7E2B" w:rsidP="00EE7E2B">
      <w:pPr>
        <w:jc w:val="both"/>
        <w:rPr>
          <w:rFonts w:ascii="Arial" w:hAnsi="Arial" w:cs="Arial"/>
          <w:b/>
          <w:szCs w:val="24"/>
          <w:lang w:val="hr-HR"/>
        </w:rPr>
      </w:pPr>
      <w:r w:rsidRPr="003D2EC6">
        <w:rPr>
          <w:rFonts w:ascii="Arial" w:hAnsi="Arial" w:cs="Arial"/>
          <w:b/>
          <w:szCs w:val="24"/>
          <w:lang w:val="hr-HR"/>
        </w:rPr>
        <w:lastRenderedPageBreak/>
        <w:t xml:space="preserve">RASHODI I IZDACI </w:t>
      </w:r>
    </w:p>
    <w:p w:rsidR="00EE7E2B" w:rsidRPr="007F5522" w:rsidRDefault="00EE7E2B" w:rsidP="00EE7E2B">
      <w:pPr>
        <w:jc w:val="both"/>
        <w:rPr>
          <w:rFonts w:ascii="Arial" w:hAnsi="Arial" w:cs="Arial"/>
          <w:b/>
          <w:szCs w:val="24"/>
          <w:lang w:val="hr-HR"/>
        </w:rPr>
      </w:pPr>
    </w:p>
    <w:p w:rsidR="00EE7E2B" w:rsidRPr="007F5522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7F5522">
        <w:rPr>
          <w:rFonts w:ascii="Arial" w:hAnsi="Arial" w:cs="Arial"/>
        </w:rPr>
        <w:t>Planirani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Pr="007F5522">
        <w:rPr>
          <w:rFonts w:ascii="Arial" w:hAnsi="Arial" w:cs="Arial"/>
        </w:rPr>
        <w:t xml:space="preserve"> u 2023</w:t>
      </w:r>
      <w:r>
        <w:rPr>
          <w:rFonts w:ascii="Arial" w:hAnsi="Arial" w:cs="Arial"/>
        </w:rPr>
        <w:t>.</w:t>
      </w:r>
      <w:proofErr w:type="gramEnd"/>
      <w:r w:rsidR="00553609">
        <w:rPr>
          <w:rFonts w:ascii="Arial" w:hAnsi="Arial" w:cs="Arial"/>
        </w:rPr>
        <w:t xml:space="preserve"> </w:t>
      </w:r>
      <w:proofErr w:type="spellStart"/>
      <w:proofErr w:type="gramStart"/>
      <w:r w:rsidR="00553609">
        <w:rPr>
          <w:rFonts w:ascii="Arial" w:hAnsi="Arial" w:cs="Arial"/>
        </w:rPr>
        <w:t>godini</w:t>
      </w:r>
      <w:proofErr w:type="spellEnd"/>
      <w:r w:rsidR="00553609">
        <w:rPr>
          <w:rFonts w:ascii="Arial" w:hAnsi="Arial" w:cs="Arial"/>
        </w:rPr>
        <w:t xml:space="preserve">  </w:t>
      </w:r>
      <w:proofErr w:type="spellStart"/>
      <w:r w:rsidR="00553609">
        <w:rPr>
          <w:rFonts w:ascii="Arial" w:hAnsi="Arial" w:cs="Arial"/>
        </w:rPr>
        <w:t>iznose</w:t>
      </w:r>
      <w:proofErr w:type="spellEnd"/>
      <w:proofErr w:type="gramEnd"/>
      <w:r w:rsidR="00553609">
        <w:rPr>
          <w:rFonts w:ascii="Arial" w:hAnsi="Arial" w:cs="Arial"/>
        </w:rPr>
        <w:t xml:space="preserve"> </w:t>
      </w:r>
      <w:r w:rsidRPr="007F5522">
        <w:rPr>
          <w:rFonts w:ascii="Arial" w:hAnsi="Arial" w:cs="Arial"/>
        </w:rPr>
        <w:t xml:space="preserve"> </w:t>
      </w:r>
      <w:r w:rsidR="006657FF" w:rsidRPr="006657FF">
        <w:rPr>
          <w:rFonts w:ascii="Arial" w:hAnsi="Arial" w:cs="Arial"/>
        </w:rPr>
        <w:t>1</w:t>
      </w:r>
      <w:r w:rsidR="006657FF">
        <w:rPr>
          <w:rFonts w:ascii="Arial" w:hAnsi="Arial" w:cs="Arial"/>
        </w:rPr>
        <w:t>.</w:t>
      </w:r>
      <w:r w:rsidR="006657FF" w:rsidRPr="006657FF">
        <w:rPr>
          <w:rFonts w:ascii="Arial" w:hAnsi="Arial" w:cs="Arial"/>
        </w:rPr>
        <w:t>099</w:t>
      </w:r>
      <w:r w:rsidR="006657FF">
        <w:rPr>
          <w:rFonts w:ascii="Arial" w:hAnsi="Arial" w:cs="Arial"/>
        </w:rPr>
        <w:t>.</w:t>
      </w:r>
      <w:r w:rsidR="006657FF" w:rsidRPr="006657FF">
        <w:rPr>
          <w:rFonts w:ascii="Arial" w:hAnsi="Arial" w:cs="Arial"/>
        </w:rPr>
        <w:t>676</w:t>
      </w:r>
      <w:r w:rsidR="00A00A0C">
        <w:rPr>
          <w:rFonts w:ascii="Arial" w:hAnsi="Arial" w:cs="Arial"/>
        </w:rPr>
        <w:t xml:space="preserve"> </w:t>
      </w:r>
      <w:proofErr w:type="spellStart"/>
      <w:r w:rsidR="00553609">
        <w:rPr>
          <w:rFonts w:ascii="Arial" w:hAnsi="Arial" w:cs="Arial"/>
        </w:rPr>
        <w:t>eura</w:t>
      </w:r>
      <w:proofErr w:type="spellEnd"/>
      <w:r w:rsidR="00553609">
        <w:rPr>
          <w:rFonts w:ascii="Arial" w:hAnsi="Arial" w:cs="Arial"/>
        </w:rPr>
        <w:t xml:space="preserve">, </w:t>
      </w:r>
      <w:r w:rsidRPr="007F5522">
        <w:rPr>
          <w:rFonts w:ascii="Arial" w:hAnsi="Arial" w:cs="Arial"/>
        </w:rPr>
        <w:t xml:space="preserve">od toga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poslovanja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="00A00A0C">
        <w:rPr>
          <w:rFonts w:ascii="Arial" w:hAnsi="Arial" w:cs="Arial"/>
        </w:rPr>
        <w:t xml:space="preserve"> od 1.092.642</w:t>
      </w:r>
      <w:r w:rsidR="00553609">
        <w:rPr>
          <w:rFonts w:ascii="Arial" w:hAnsi="Arial" w:cs="Arial"/>
        </w:rPr>
        <w:t xml:space="preserve"> </w:t>
      </w:r>
      <w:proofErr w:type="spellStart"/>
      <w:r w:rsidR="00553609">
        <w:rPr>
          <w:rFonts w:ascii="Arial" w:hAnsi="Arial" w:cs="Arial"/>
        </w:rPr>
        <w:t>eura</w:t>
      </w:r>
      <w:proofErr w:type="spellEnd"/>
      <w:r w:rsidR="00553609">
        <w:rPr>
          <w:rFonts w:ascii="Arial" w:hAnsi="Arial" w:cs="Arial"/>
        </w:rPr>
        <w:t xml:space="preserve">, </w:t>
      </w:r>
      <w:proofErr w:type="spellStart"/>
      <w:r w:rsidRPr="007F5522">
        <w:rPr>
          <w:rFonts w:ascii="Arial" w:hAnsi="Arial" w:cs="Arial"/>
        </w:rPr>
        <w:t>te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</w:t>
      </w:r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r w:rsidR="006657FF">
        <w:rPr>
          <w:rFonts w:ascii="Arial" w:hAnsi="Arial" w:cs="Arial"/>
        </w:rPr>
        <w:t>bavu</w:t>
      </w:r>
      <w:proofErr w:type="spellEnd"/>
      <w:r w:rsidR="006657FF">
        <w:rPr>
          <w:rFonts w:ascii="Arial" w:hAnsi="Arial" w:cs="Arial"/>
        </w:rPr>
        <w:t xml:space="preserve"> </w:t>
      </w:r>
      <w:proofErr w:type="spellStart"/>
      <w:r w:rsidR="006657FF">
        <w:rPr>
          <w:rFonts w:ascii="Arial" w:hAnsi="Arial" w:cs="Arial"/>
        </w:rPr>
        <w:t>nefinancijske</w:t>
      </w:r>
      <w:proofErr w:type="spellEnd"/>
      <w:r w:rsidR="006657FF">
        <w:rPr>
          <w:rFonts w:ascii="Arial" w:hAnsi="Arial" w:cs="Arial"/>
        </w:rPr>
        <w:t xml:space="preserve"> </w:t>
      </w:r>
      <w:proofErr w:type="spellStart"/>
      <w:r w:rsidR="006657FF">
        <w:rPr>
          <w:rFonts w:ascii="Arial" w:hAnsi="Arial" w:cs="Arial"/>
        </w:rPr>
        <w:t>imovine</w:t>
      </w:r>
      <w:proofErr w:type="spellEnd"/>
      <w:r w:rsidR="006657FF">
        <w:rPr>
          <w:rFonts w:ascii="Arial" w:hAnsi="Arial" w:cs="Arial"/>
        </w:rPr>
        <w:t xml:space="preserve"> 7.034</w:t>
      </w:r>
      <w:r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>.</w:t>
      </w:r>
    </w:p>
    <w:p w:rsidR="00EE7E2B" w:rsidRPr="007F5522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62558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Najveći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su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rashodi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zaposlene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Pr="007F5522">
        <w:rPr>
          <w:rFonts w:ascii="Arial" w:hAnsi="Arial" w:cs="Arial"/>
        </w:rPr>
        <w:t xml:space="preserve"> od </w:t>
      </w:r>
      <w:proofErr w:type="gramStart"/>
      <w:r w:rsidR="00C15133">
        <w:rPr>
          <w:rFonts w:ascii="Arial" w:hAnsi="Arial" w:cs="Arial"/>
        </w:rPr>
        <w:t xml:space="preserve">727.056 </w:t>
      </w:r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eura</w:t>
      </w:r>
      <w:proofErr w:type="spellEnd"/>
      <w:proofErr w:type="gramEnd"/>
      <w:r w:rsidR="0048093B">
        <w:rPr>
          <w:rFonts w:ascii="Arial" w:hAnsi="Arial" w:cs="Arial"/>
        </w:rPr>
        <w:t>,</w:t>
      </w:r>
      <w:r w:rsidR="002C553A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dok</w:t>
      </w:r>
      <w:proofErr w:type="spellEnd"/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na</w:t>
      </w:r>
      <w:proofErr w:type="spellEnd"/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materijalne</w:t>
      </w:r>
      <w:proofErr w:type="spellEnd"/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rashode</w:t>
      </w:r>
      <w:proofErr w:type="spellEnd"/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otpada</w:t>
      </w:r>
      <w:proofErr w:type="spellEnd"/>
      <w:r w:rsidR="0048093B">
        <w:rPr>
          <w:rFonts w:ascii="Arial" w:hAnsi="Arial" w:cs="Arial"/>
        </w:rPr>
        <w:t xml:space="preserve"> </w:t>
      </w:r>
      <w:proofErr w:type="spellStart"/>
      <w:r w:rsidR="0048093B">
        <w:rPr>
          <w:rFonts w:ascii="Arial" w:hAnsi="Arial" w:cs="Arial"/>
        </w:rPr>
        <w:t>iznos</w:t>
      </w:r>
      <w:proofErr w:type="spellEnd"/>
      <w:r w:rsidR="0048093B">
        <w:rPr>
          <w:rFonts w:ascii="Arial" w:hAnsi="Arial" w:cs="Arial"/>
        </w:rPr>
        <w:t xml:space="preserve"> od 364.922</w:t>
      </w:r>
      <w:r w:rsidR="002C553A">
        <w:rPr>
          <w:rFonts w:ascii="Arial" w:hAnsi="Arial" w:cs="Arial"/>
        </w:rPr>
        <w:t xml:space="preserve"> </w:t>
      </w:r>
      <w:proofErr w:type="spellStart"/>
      <w:r w:rsidR="002C553A">
        <w:rPr>
          <w:rFonts w:ascii="Arial" w:hAnsi="Arial" w:cs="Arial"/>
        </w:rPr>
        <w:t>eura</w:t>
      </w:r>
      <w:proofErr w:type="spellEnd"/>
      <w:r w:rsidR="002C553A">
        <w:rPr>
          <w:rFonts w:ascii="Arial" w:hAnsi="Arial" w:cs="Arial"/>
        </w:rPr>
        <w:t>.</w:t>
      </w:r>
    </w:p>
    <w:p w:rsidR="00EE7E2B" w:rsidRDefault="00EE7E2B" w:rsidP="0062558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902BFB">
        <w:rPr>
          <w:rFonts w:ascii="Arial" w:hAnsi="Arial" w:cs="Arial"/>
        </w:rPr>
        <w:t>Broj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zaposlenih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dužnosnika</w:t>
      </w:r>
      <w:proofErr w:type="spellEnd"/>
      <w:r w:rsidRPr="00902BFB">
        <w:rPr>
          <w:rFonts w:ascii="Arial" w:hAnsi="Arial" w:cs="Arial"/>
        </w:rPr>
        <w:t xml:space="preserve">, </w:t>
      </w:r>
      <w:proofErr w:type="spellStart"/>
      <w:r w:rsidRPr="00902BFB">
        <w:rPr>
          <w:rFonts w:ascii="Arial" w:hAnsi="Arial" w:cs="Arial"/>
        </w:rPr>
        <w:t>službenika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namještenika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proofErr w:type="gramStart"/>
      <w:r w:rsidRPr="00902BFB">
        <w:rPr>
          <w:rFonts w:ascii="Arial" w:hAnsi="Arial" w:cs="Arial"/>
        </w:rPr>
        <w:t>na</w:t>
      </w:r>
      <w:proofErr w:type="spellEnd"/>
      <w:proofErr w:type="gramEnd"/>
      <w:r w:rsidRPr="00902BFB">
        <w:rPr>
          <w:rFonts w:ascii="Arial" w:hAnsi="Arial" w:cs="Arial"/>
        </w:rPr>
        <w:t xml:space="preserve"> </w:t>
      </w:r>
      <w:proofErr w:type="spellStart"/>
      <w:r w:rsidR="00625585">
        <w:rPr>
          <w:rFonts w:ascii="Arial" w:hAnsi="Arial" w:cs="Arial"/>
        </w:rPr>
        <w:t>dan</w:t>
      </w:r>
      <w:proofErr w:type="spellEnd"/>
      <w:r w:rsidR="00625585">
        <w:rPr>
          <w:rFonts w:ascii="Arial" w:hAnsi="Arial" w:cs="Arial"/>
        </w:rPr>
        <w:t xml:space="preserve"> 31. </w:t>
      </w:r>
      <w:proofErr w:type="spellStart"/>
      <w:proofErr w:type="gramStart"/>
      <w:r w:rsidR="00625585">
        <w:rPr>
          <w:rFonts w:ascii="Arial" w:hAnsi="Arial" w:cs="Arial"/>
        </w:rPr>
        <w:t>kolovoza</w:t>
      </w:r>
      <w:proofErr w:type="spellEnd"/>
      <w:proofErr w:type="gramEnd"/>
      <w:r w:rsidR="00625585">
        <w:rPr>
          <w:rFonts w:ascii="Arial" w:hAnsi="Arial" w:cs="Arial"/>
        </w:rPr>
        <w:t xml:space="preserve"> 2022.</w:t>
      </w:r>
      <w:r w:rsidR="00553609">
        <w:rPr>
          <w:rFonts w:ascii="Arial" w:hAnsi="Arial" w:cs="Arial"/>
        </w:rPr>
        <w:t>:</w:t>
      </w:r>
    </w:p>
    <w:p w:rsidR="00625585" w:rsidRPr="00553609" w:rsidRDefault="00625585" w:rsidP="00553609">
      <w:pPr>
        <w:tabs>
          <w:tab w:val="left" w:pos="1764"/>
        </w:tabs>
        <w:jc w:val="both"/>
        <w:rPr>
          <w:rFonts w:ascii="Arial" w:hAnsi="Arial" w:cs="Arial"/>
        </w:rPr>
      </w:pPr>
      <w:proofErr w:type="gramStart"/>
      <w:r w:rsidRPr="00553609">
        <w:rPr>
          <w:rFonts w:ascii="Arial" w:hAnsi="Arial" w:cs="Arial"/>
        </w:rPr>
        <w:t>u</w:t>
      </w:r>
      <w:proofErr w:type="gram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Županijskom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državnom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odvjetništvu</w:t>
      </w:r>
      <w:proofErr w:type="spellEnd"/>
      <w:r w:rsidRPr="00553609">
        <w:rPr>
          <w:rFonts w:ascii="Arial" w:hAnsi="Arial" w:cs="Arial"/>
        </w:rPr>
        <w:t xml:space="preserve"> u Puli-</w:t>
      </w:r>
      <w:proofErr w:type="spellStart"/>
      <w:r w:rsidRPr="00553609">
        <w:rPr>
          <w:rFonts w:ascii="Arial" w:hAnsi="Arial" w:cs="Arial"/>
        </w:rPr>
        <w:t>Pola</w:t>
      </w:r>
      <w:proofErr w:type="spellEnd"/>
      <w:r w:rsidRPr="00553609">
        <w:rPr>
          <w:rFonts w:ascii="Arial" w:hAnsi="Arial" w:cs="Arial"/>
        </w:rPr>
        <w:t xml:space="preserve">  je </w:t>
      </w:r>
      <w:proofErr w:type="spellStart"/>
      <w:r w:rsidR="00AF78E2">
        <w:rPr>
          <w:rFonts w:ascii="Arial" w:hAnsi="Arial" w:cs="Arial"/>
        </w:rPr>
        <w:t>bilo</w:t>
      </w:r>
      <w:proofErr w:type="spellEnd"/>
      <w:r w:rsidR="00AF78E2">
        <w:rPr>
          <w:rFonts w:ascii="Arial" w:hAnsi="Arial" w:cs="Arial"/>
        </w:rPr>
        <w:t xml:space="preserve"> </w:t>
      </w:r>
      <w:bookmarkStart w:id="0" w:name="_GoBack"/>
      <w:bookmarkEnd w:id="0"/>
      <w:proofErr w:type="spellStart"/>
      <w:r w:rsidRPr="00553609">
        <w:rPr>
          <w:rFonts w:ascii="Arial" w:hAnsi="Arial" w:cs="Arial"/>
        </w:rPr>
        <w:t>zaposleno</w:t>
      </w:r>
      <w:proofErr w:type="spellEnd"/>
      <w:r w:rsidRPr="00553609">
        <w:rPr>
          <w:rFonts w:ascii="Arial" w:hAnsi="Arial" w:cs="Arial"/>
        </w:rPr>
        <w:t xml:space="preserve"> 7 </w:t>
      </w:r>
      <w:proofErr w:type="spellStart"/>
      <w:r w:rsidRPr="00553609">
        <w:rPr>
          <w:rFonts w:ascii="Arial" w:hAnsi="Arial" w:cs="Arial"/>
        </w:rPr>
        <w:t>dužnosnika</w:t>
      </w:r>
      <w:proofErr w:type="spellEnd"/>
      <w:r w:rsidRPr="00553609">
        <w:rPr>
          <w:rFonts w:ascii="Arial" w:hAnsi="Arial" w:cs="Arial"/>
        </w:rPr>
        <w:t xml:space="preserve">, 15 </w:t>
      </w:r>
      <w:proofErr w:type="spellStart"/>
      <w:r w:rsidRPr="00553609">
        <w:rPr>
          <w:rFonts w:ascii="Arial" w:hAnsi="Arial" w:cs="Arial"/>
        </w:rPr>
        <w:t>službenika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i</w:t>
      </w:r>
      <w:proofErr w:type="spellEnd"/>
      <w:r w:rsidRPr="00553609">
        <w:rPr>
          <w:rFonts w:ascii="Arial" w:hAnsi="Arial" w:cs="Arial"/>
        </w:rPr>
        <w:t xml:space="preserve"> 3 </w:t>
      </w:r>
      <w:proofErr w:type="spellStart"/>
      <w:r w:rsidRPr="00553609">
        <w:rPr>
          <w:rFonts w:ascii="Arial" w:hAnsi="Arial" w:cs="Arial"/>
        </w:rPr>
        <w:t>namještenika</w:t>
      </w:r>
      <w:proofErr w:type="spellEnd"/>
      <w:r w:rsidRPr="00553609">
        <w:rPr>
          <w:rFonts w:ascii="Arial" w:hAnsi="Arial" w:cs="Arial"/>
        </w:rPr>
        <w:t xml:space="preserve">. </w:t>
      </w:r>
      <w:proofErr w:type="gramStart"/>
      <w:r w:rsidRPr="00553609">
        <w:rPr>
          <w:rFonts w:ascii="Arial" w:hAnsi="Arial" w:cs="Arial"/>
        </w:rPr>
        <w:t>U 2023.</w:t>
      </w:r>
      <w:proofErr w:type="gram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Biti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proofErr w:type="gramStart"/>
      <w:r w:rsidRPr="00553609">
        <w:rPr>
          <w:rFonts w:ascii="Arial" w:hAnsi="Arial" w:cs="Arial"/>
        </w:rPr>
        <w:t>će</w:t>
      </w:r>
      <w:proofErr w:type="spellEnd"/>
      <w:proofErr w:type="gram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zaposleno</w:t>
      </w:r>
      <w:proofErr w:type="spellEnd"/>
      <w:r w:rsidRPr="00553609">
        <w:rPr>
          <w:rFonts w:ascii="Arial" w:hAnsi="Arial" w:cs="Arial"/>
        </w:rPr>
        <w:t xml:space="preserve"> 9 </w:t>
      </w:r>
      <w:proofErr w:type="spellStart"/>
      <w:r w:rsidRPr="00553609">
        <w:rPr>
          <w:rFonts w:ascii="Arial" w:hAnsi="Arial" w:cs="Arial"/>
        </w:rPr>
        <w:t>dužnosnika</w:t>
      </w:r>
      <w:proofErr w:type="spellEnd"/>
      <w:r w:rsidRPr="00553609">
        <w:rPr>
          <w:rFonts w:ascii="Arial" w:hAnsi="Arial" w:cs="Arial"/>
        </w:rPr>
        <w:t xml:space="preserve">, 16 </w:t>
      </w:r>
      <w:proofErr w:type="spellStart"/>
      <w:r w:rsidRPr="00553609">
        <w:rPr>
          <w:rFonts w:ascii="Arial" w:hAnsi="Arial" w:cs="Arial"/>
        </w:rPr>
        <w:t>službenika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i</w:t>
      </w:r>
      <w:proofErr w:type="spellEnd"/>
      <w:r w:rsidRPr="00553609">
        <w:rPr>
          <w:rFonts w:ascii="Arial" w:hAnsi="Arial" w:cs="Arial"/>
        </w:rPr>
        <w:t xml:space="preserve"> 3 </w:t>
      </w:r>
      <w:proofErr w:type="spellStart"/>
      <w:r w:rsidRPr="00553609">
        <w:rPr>
          <w:rFonts w:ascii="Arial" w:hAnsi="Arial" w:cs="Arial"/>
        </w:rPr>
        <w:t>namještenika</w:t>
      </w:r>
      <w:proofErr w:type="spellEnd"/>
      <w:r w:rsidRPr="00553609">
        <w:rPr>
          <w:rFonts w:ascii="Arial" w:hAnsi="Arial" w:cs="Arial"/>
        </w:rPr>
        <w:t xml:space="preserve">, s time da </w:t>
      </w:r>
      <w:proofErr w:type="spellStart"/>
      <w:r w:rsidRPr="00553609">
        <w:rPr>
          <w:rFonts w:ascii="Arial" w:hAnsi="Arial" w:cs="Arial"/>
        </w:rPr>
        <w:t>postoji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potreba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za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povećanjm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broja</w:t>
      </w:r>
      <w:proofErr w:type="spellEnd"/>
      <w:r w:rsidRPr="00553609">
        <w:rPr>
          <w:rFonts w:ascii="Arial" w:hAnsi="Arial" w:cs="Arial"/>
        </w:rPr>
        <w:t xml:space="preserve"> </w:t>
      </w:r>
      <w:proofErr w:type="spellStart"/>
      <w:r w:rsidRPr="00553609">
        <w:rPr>
          <w:rFonts w:ascii="Arial" w:hAnsi="Arial" w:cs="Arial"/>
        </w:rPr>
        <w:t>službenika</w:t>
      </w:r>
      <w:proofErr w:type="spellEnd"/>
      <w:r w:rsidRPr="00553609">
        <w:rPr>
          <w:rFonts w:ascii="Arial" w:hAnsi="Arial" w:cs="Arial"/>
        </w:rPr>
        <w:t xml:space="preserve">. </w:t>
      </w:r>
    </w:p>
    <w:p w:rsidR="00E53046" w:rsidRDefault="00625585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625585">
        <w:rPr>
          <w:rFonts w:ascii="Arial" w:hAnsi="Arial" w:cs="Arial"/>
        </w:rPr>
        <w:t>Prema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navedenome</w:t>
      </w:r>
      <w:proofErr w:type="spellEnd"/>
      <w:r w:rsidRPr="00625585">
        <w:rPr>
          <w:rFonts w:ascii="Arial" w:hAnsi="Arial" w:cs="Arial"/>
        </w:rPr>
        <w:t xml:space="preserve">, plan </w:t>
      </w:r>
      <w:proofErr w:type="spellStart"/>
      <w:r w:rsidRPr="00625585">
        <w:rPr>
          <w:rFonts w:ascii="Arial" w:hAnsi="Arial" w:cs="Arial"/>
        </w:rPr>
        <w:t>za</w:t>
      </w:r>
      <w:proofErr w:type="spellEnd"/>
      <w:r w:rsidRPr="00625585">
        <w:rPr>
          <w:rFonts w:ascii="Arial" w:hAnsi="Arial" w:cs="Arial"/>
        </w:rPr>
        <w:t xml:space="preserve"> 2023.</w:t>
      </w:r>
      <w:proofErr w:type="gramEnd"/>
      <w:r w:rsidRPr="00625585">
        <w:rPr>
          <w:rFonts w:ascii="Arial" w:hAnsi="Arial" w:cs="Arial"/>
        </w:rPr>
        <w:t xml:space="preserve"> </w:t>
      </w:r>
      <w:proofErr w:type="spellStart"/>
      <w:proofErr w:type="gramStart"/>
      <w:r w:rsidRPr="00625585">
        <w:rPr>
          <w:rFonts w:ascii="Arial" w:hAnsi="Arial" w:cs="Arial"/>
        </w:rPr>
        <w:t>godinu</w:t>
      </w:r>
      <w:proofErr w:type="spellEnd"/>
      <w:proofErr w:type="gramEnd"/>
      <w:r w:rsidRPr="00625585">
        <w:rPr>
          <w:rFonts w:ascii="Arial" w:hAnsi="Arial" w:cs="Arial"/>
        </w:rPr>
        <w:t xml:space="preserve"> ŽDO u Puli-</w:t>
      </w:r>
      <w:proofErr w:type="spellStart"/>
      <w:r w:rsidRPr="00625585">
        <w:rPr>
          <w:rFonts w:ascii="Arial" w:hAnsi="Arial" w:cs="Arial"/>
        </w:rPr>
        <w:t>Pola</w:t>
      </w:r>
      <w:proofErr w:type="spellEnd"/>
      <w:r w:rsidRPr="00625585">
        <w:rPr>
          <w:rFonts w:ascii="Arial" w:hAnsi="Arial" w:cs="Arial"/>
        </w:rPr>
        <w:t xml:space="preserve">  </w:t>
      </w:r>
      <w:proofErr w:type="spellStart"/>
      <w:r w:rsidRPr="00625585">
        <w:rPr>
          <w:rFonts w:ascii="Arial" w:hAnsi="Arial" w:cs="Arial"/>
        </w:rPr>
        <w:t>odnosi</w:t>
      </w:r>
      <w:proofErr w:type="spellEnd"/>
      <w:r w:rsidRPr="00625585">
        <w:rPr>
          <w:rFonts w:ascii="Arial" w:hAnsi="Arial" w:cs="Arial"/>
        </w:rPr>
        <w:t xml:space="preserve"> se </w:t>
      </w:r>
      <w:proofErr w:type="spellStart"/>
      <w:r w:rsidRPr="00625585">
        <w:rPr>
          <w:rFonts w:ascii="Arial" w:hAnsi="Arial" w:cs="Arial"/>
        </w:rPr>
        <w:t>na</w:t>
      </w:r>
      <w:proofErr w:type="spellEnd"/>
      <w:r w:rsidRPr="00625585">
        <w:rPr>
          <w:rFonts w:ascii="Arial" w:hAnsi="Arial" w:cs="Arial"/>
        </w:rPr>
        <w:t xml:space="preserve"> 9 </w:t>
      </w:r>
      <w:proofErr w:type="spellStart"/>
      <w:r w:rsidRPr="00625585">
        <w:rPr>
          <w:rFonts w:ascii="Arial" w:hAnsi="Arial" w:cs="Arial"/>
        </w:rPr>
        <w:t>dužnosnika</w:t>
      </w:r>
      <w:proofErr w:type="spellEnd"/>
      <w:r w:rsidRPr="00625585">
        <w:rPr>
          <w:rFonts w:ascii="Arial" w:hAnsi="Arial" w:cs="Arial"/>
        </w:rPr>
        <w:t>, 1</w:t>
      </w:r>
      <w:r>
        <w:rPr>
          <w:rFonts w:ascii="Arial" w:hAnsi="Arial" w:cs="Arial"/>
        </w:rPr>
        <w:t xml:space="preserve">7 </w:t>
      </w:r>
      <w:proofErr w:type="spellStart"/>
      <w:r>
        <w:rPr>
          <w:rFonts w:ascii="Arial" w:hAnsi="Arial" w:cs="Arial"/>
        </w:rPr>
        <w:t>službenika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3 </w:t>
      </w:r>
      <w:proofErr w:type="spellStart"/>
      <w:r>
        <w:rPr>
          <w:rFonts w:ascii="Arial" w:hAnsi="Arial" w:cs="Arial"/>
        </w:rPr>
        <w:t>namještenika</w:t>
      </w:r>
      <w:proofErr w:type="spellEnd"/>
      <w:r>
        <w:rPr>
          <w:rFonts w:ascii="Arial" w:hAnsi="Arial" w:cs="Arial"/>
        </w:rPr>
        <w:t xml:space="preserve">. </w:t>
      </w:r>
    </w:p>
    <w:p w:rsidR="00625585" w:rsidRDefault="00625585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625585">
        <w:rPr>
          <w:rFonts w:ascii="Arial" w:hAnsi="Arial" w:cs="Arial"/>
        </w:rPr>
        <w:t>Izračun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ostalih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rashoda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za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zaposlene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izrađen</w:t>
      </w:r>
      <w:proofErr w:type="spellEnd"/>
      <w:r w:rsidRPr="00625585">
        <w:rPr>
          <w:rFonts w:ascii="Arial" w:hAnsi="Arial" w:cs="Arial"/>
        </w:rPr>
        <w:t xml:space="preserve"> je </w:t>
      </w:r>
      <w:proofErr w:type="spellStart"/>
      <w:proofErr w:type="gramStart"/>
      <w:r w:rsidRPr="00625585">
        <w:rPr>
          <w:rFonts w:ascii="Arial" w:hAnsi="Arial" w:cs="Arial"/>
        </w:rPr>
        <w:t>na</w:t>
      </w:r>
      <w:proofErr w:type="spellEnd"/>
      <w:proofErr w:type="gram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bazi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zaposlenih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službenika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namještenika</w:t>
      </w:r>
      <w:proofErr w:type="spellEnd"/>
      <w:r w:rsidRPr="00625585">
        <w:rPr>
          <w:rFonts w:ascii="Arial" w:hAnsi="Arial" w:cs="Arial"/>
        </w:rPr>
        <w:t xml:space="preserve">, </w:t>
      </w:r>
      <w:proofErr w:type="spellStart"/>
      <w:r w:rsidRPr="00625585">
        <w:rPr>
          <w:rFonts w:ascii="Arial" w:hAnsi="Arial" w:cs="Arial"/>
        </w:rPr>
        <w:t>te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postupaka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prijema</w:t>
      </w:r>
      <w:proofErr w:type="spellEnd"/>
      <w:r w:rsidRPr="00625585">
        <w:rPr>
          <w:rFonts w:ascii="Arial" w:hAnsi="Arial" w:cs="Arial"/>
        </w:rPr>
        <w:t xml:space="preserve"> u </w:t>
      </w:r>
      <w:proofErr w:type="spellStart"/>
      <w:r w:rsidRPr="00625585">
        <w:rPr>
          <w:rFonts w:ascii="Arial" w:hAnsi="Arial" w:cs="Arial"/>
        </w:rPr>
        <w:t>državnu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službu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koji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su</w:t>
      </w:r>
      <w:proofErr w:type="spellEnd"/>
      <w:r w:rsidRPr="00625585">
        <w:rPr>
          <w:rFonts w:ascii="Arial" w:hAnsi="Arial" w:cs="Arial"/>
        </w:rPr>
        <w:t xml:space="preserve"> u </w:t>
      </w:r>
      <w:proofErr w:type="spellStart"/>
      <w:r w:rsidRPr="00625585">
        <w:rPr>
          <w:rFonts w:ascii="Arial" w:hAnsi="Arial" w:cs="Arial"/>
        </w:rPr>
        <w:t>tijeku</w:t>
      </w:r>
      <w:proofErr w:type="spellEnd"/>
      <w:r w:rsidRPr="00625585">
        <w:rPr>
          <w:rFonts w:ascii="Arial" w:hAnsi="Arial" w:cs="Arial"/>
        </w:rPr>
        <w:t xml:space="preserve">. </w:t>
      </w:r>
      <w:proofErr w:type="spellStart"/>
      <w:proofErr w:type="gramStart"/>
      <w:r w:rsidRPr="00625585">
        <w:rPr>
          <w:rFonts w:ascii="Arial" w:hAnsi="Arial" w:cs="Arial"/>
        </w:rPr>
        <w:t>Navedena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brojka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predstavlja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bazu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za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izračun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regresa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božićnica</w:t>
      </w:r>
      <w:proofErr w:type="spellEnd"/>
      <w:r w:rsidRPr="00625585">
        <w:rPr>
          <w:rFonts w:ascii="Arial" w:hAnsi="Arial" w:cs="Arial"/>
        </w:rPr>
        <w:t xml:space="preserve">, </w:t>
      </w:r>
      <w:proofErr w:type="spellStart"/>
      <w:r w:rsidRPr="00625585">
        <w:rPr>
          <w:rFonts w:ascii="Arial" w:hAnsi="Arial" w:cs="Arial"/>
        </w:rPr>
        <w:t>dok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su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ostali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rashodi</w:t>
      </w:r>
      <w:proofErr w:type="spellEnd"/>
      <w:r w:rsidRPr="00625585">
        <w:rPr>
          <w:rFonts w:ascii="Arial" w:hAnsi="Arial" w:cs="Arial"/>
        </w:rPr>
        <w:t xml:space="preserve"> - </w:t>
      </w:r>
      <w:proofErr w:type="spellStart"/>
      <w:r w:rsidRPr="00625585">
        <w:rPr>
          <w:rFonts w:ascii="Arial" w:hAnsi="Arial" w:cs="Arial"/>
        </w:rPr>
        <w:t>jubilarne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nagrade</w:t>
      </w:r>
      <w:proofErr w:type="spellEnd"/>
      <w:r w:rsidRPr="00625585">
        <w:rPr>
          <w:rFonts w:ascii="Arial" w:hAnsi="Arial" w:cs="Arial"/>
        </w:rPr>
        <w:t xml:space="preserve">, </w:t>
      </w:r>
      <w:proofErr w:type="spellStart"/>
      <w:r w:rsidRPr="00625585">
        <w:rPr>
          <w:rFonts w:ascii="Arial" w:hAnsi="Arial" w:cs="Arial"/>
        </w:rPr>
        <w:t>otpremnine</w:t>
      </w:r>
      <w:proofErr w:type="spellEnd"/>
      <w:r w:rsidRPr="00625585">
        <w:rPr>
          <w:rFonts w:ascii="Arial" w:hAnsi="Arial" w:cs="Arial"/>
        </w:rPr>
        <w:t xml:space="preserve">, </w:t>
      </w:r>
      <w:proofErr w:type="spellStart"/>
      <w:r w:rsidRPr="00625585">
        <w:rPr>
          <w:rFonts w:ascii="Arial" w:hAnsi="Arial" w:cs="Arial"/>
        </w:rPr>
        <w:t>darovi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za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djecu</w:t>
      </w:r>
      <w:proofErr w:type="spellEnd"/>
      <w:r w:rsidRPr="00625585">
        <w:rPr>
          <w:rFonts w:ascii="Arial" w:hAnsi="Arial" w:cs="Arial"/>
        </w:rPr>
        <w:t xml:space="preserve">, </w:t>
      </w:r>
      <w:proofErr w:type="spellStart"/>
      <w:r w:rsidRPr="00625585">
        <w:rPr>
          <w:rFonts w:ascii="Arial" w:hAnsi="Arial" w:cs="Arial"/>
        </w:rPr>
        <w:t>pomoći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ostali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materijalni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rashodi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izračunati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prema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postojećoj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strukturi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službenika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i</w:t>
      </w:r>
      <w:proofErr w:type="spellEnd"/>
      <w:r w:rsidRPr="00625585">
        <w:rPr>
          <w:rFonts w:ascii="Arial" w:hAnsi="Arial" w:cs="Arial"/>
        </w:rPr>
        <w:t xml:space="preserve"> </w:t>
      </w:r>
      <w:proofErr w:type="spellStart"/>
      <w:r w:rsidRPr="00625585">
        <w:rPr>
          <w:rFonts w:ascii="Arial" w:hAnsi="Arial" w:cs="Arial"/>
        </w:rPr>
        <w:t>namještenika</w:t>
      </w:r>
      <w:proofErr w:type="spellEnd"/>
      <w:r w:rsidRPr="00625585">
        <w:rPr>
          <w:rFonts w:ascii="Arial" w:hAnsi="Arial" w:cs="Arial"/>
        </w:rPr>
        <w:t>.</w:t>
      </w:r>
      <w:proofErr w:type="gramEnd"/>
    </w:p>
    <w:p w:rsidR="0062558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Beneficirani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staž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902BFB">
        <w:rPr>
          <w:rFonts w:ascii="Arial" w:hAnsi="Arial" w:cs="Arial"/>
        </w:rPr>
        <w:t>Zakonom</w:t>
      </w:r>
      <w:proofErr w:type="spellEnd"/>
      <w:r w:rsidRPr="00902BFB">
        <w:rPr>
          <w:rFonts w:ascii="Arial" w:hAnsi="Arial" w:cs="Arial"/>
        </w:rPr>
        <w:t xml:space="preserve"> o </w:t>
      </w:r>
      <w:proofErr w:type="spellStart"/>
      <w:r w:rsidRPr="00902BFB">
        <w:rPr>
          <w:rFonts w:ascii="Arial" w:hAnsi="Arial" w:cs="Arial"/>
        </w:rPr>
        <w:t>izmjenama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dopunama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Zakona</w:t>
      </w:r>
      <w:proofErr w:type="spellEnd"/>
      <w:r w:rsidRPr="00902BFB">
        <w:rPr>
          <w:rFonts w:ascii="Arial" w:hAnsi="Arial" w:cs="Arial"/>
        </w:rPr>
        <w:t xml:space="preserve"> o </w:t>
      </w:r>
      <w:proofErr w:type="spellStart"/>
      <w:r w:rsidRPr="00902BFB">
        <w:rPr>
          <w:rFonts w:ascii="Arial" w:hAnsi="Arial" w:cs="Arial"/>
        </w:rPr>
        <w:t>državnom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proofErr w:type="gramStart"/>
      <w:r w:rsidRPr="00902BFB">
        <w:rPr>
          <w:rFonts w:ascii="Arial" w:hAnsi="Arial" w:cs="Arial"/>
        </w:rPr>
        <w:t>odvjetništvu</w:t>
      </w:r>
      <w:proofErr w:type="spellEnd"/>
      <w:r w:rsidRPr="00902BFB">
        <w:rPr>
          <w:rFonts w:ascii="Arial" w:hAnsi="Arial" w:cs="Arial"/>
        </w:rPr>
        <w:t>(</w:t>
      </w:r>
      <w:proofErr w:type="gramEnd"/>
      <w:r w:rsidRPr="00902BFB">
        <w:rPr>
          <w:rFonts w:ascii="Arial" w:hAnsi="Arial" w:cs="Arial"/>
        </w:rPr>
        <w:t xml:space="preserve">NN116/2010) u čl.50. </w:t>
      </w:r>
      <w:proofErr w:type="spellStart"/>
      <w:proofErr w:type="gramStart"/>
      <w:r w:rsidRPr="00902BFB">
        <w:rPr>
          <w:rFonts w:ascii="Arial" w:hAnsi="Arial" w:cs="Arial"/>
        </w:rPr>
        <w:t>određeno</w:t>
      </w:r>
      <w:proofErr w:type="spellEnd"/>
      <w:proofErr w:type="gramEnd"/>
      <w:r w:rsidRPr="00902BFB">
        <w:rPr>
          <w:rFonts w:ascii="Arial" w:hAnsi="Arial" w:cs="Arial"/>
        </w:rPr>
        <w:t xml:space="preserve"> je da je </w:t>
      </w:r>
      <w:proofErr w:type="spellStart"/>
      <w:r w:rsidRPr="00902BFB">
        <w:rPr>
          <w:rFonts w:ascii="Arial" w:hAnsi="Arial" w:cs="Arial"/>
        </w:rPr>
        <w:t>državnim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odvjetnicima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te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zamjenicima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državnog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odvjetnika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koji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rade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poslovima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istrage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priznato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pravo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staž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osiguranja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povećanim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trajanjem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način</w:t>
      </w:r>
      <w:proofErr w:type="spellEnd"/>
      <w:r w:rsidRPr="00902BFB">
        <w:rPr>
          <w:rFonts w:ascii="Arial" w:hAnsi="Arial" w:cs="Arial"/>
        </w:rPr>
        <w:t xml:space="preserve"> da </w:t>
      </w:r>
      <w:proofErr w:type="spellStart"/>
      <w:r w:rsidRPr="00902BFB">
        <w:rPr>
          <w:rFonts w:ascii="Arial" w:hAnsi="Arial" w:cs="Arial"/>
        </w:rPr>
        <w:t>im</w:t>
      </w:r>
      <w:proofErr w:type="spellEnd"/>
      <w:r w:rsidRPr="00902BFB">
        <w:rPr>
          <w:rFonts w:ascii="Arial" w:hAnsi="Arial" w:cs="Arial"/>
        </w:rPr>
        <w:t xml:space="preserve"> se </w:t>
      </w:r>
      <w:proofErr w:type="spellStart"/>
      <w:r w:rsidRPr="00902BFB">
        <w:rPr>
          <w:rFonts w:ascii="Arial" w:hAnsi="Arial" w:cs="Arial"/>
        </w:rPr>
        <w:t>svakih</w:t>
      </w:r>
      <w:proofErr w:type="spellEnd"/>
      <w:r w:rsidRPr="00902BFB">
        <w:rPr>
          <w:rFonts w:ascii="Arial" w:hAnsi="Arial" w:cs="Arial"/>
        </w:rPr>
        <w:t xml:space="preserve"> 12 (</w:t>
      </w:r>
      <w:proofErr w:type="spellStart"/>
      <w:r w:rsidRPr="00902BFB">
        <w:rPr>
          <w:rFonts w:ascii="Arial" w:hAnsi="Arial" w:cs="Arial"/>
        </w:rPr>
        <w:t>dvanaest</w:t>
      </w:r>
      <w:proofErr w:type="spellEnd"/>
      <w:r w:rsidRPr="00902BFB">
        <w:rPr>
          <w:rFonts w:ascii="Arial" w:hAnsi="Arial" w:cs="Arial"/>
        </w:rPr>
        <w:t xml:space="preserve">) </w:t>
      </w:r>
      <w:proofErr w:type="spellStart"/>
      <w:r w:rsidRPr="00902BFB">
        <w:rPr>
          <w:rFonts w:ascii="Arial" w:hAnsi="Arial" w:cs="Arial"/>
        </w:rPr>
        <w:t>mjeseci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rada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tim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poslovima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računa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kao</w:t>
      </w:r>
      <w:proofErr w:type="spellEnd"/>
      <w:r w:rsidRPr="00902BFB">
        <w:rPr>
          <w:rFonts w:ascii="Arial" w:hAnsi="Arial" w:cs="Arial"/>
        </w:rPr>
        <w:t xml:space="preserve"> 15 (</w:t>
      </w:r>
      <w:proofErr w:type="spellStart"/>
      <w:r w:rsidRPr="00902BFB">
        <w:rPr>
          <w:rFonts w:ascii="Arial" w:hAnsi="Arial" w:cs="Arial"/>
        </w:rPr>
        <w:t>petnaest</w:t>
      </w:r>
      <w:proofErr w:type="spellEnd"/>
      <w:r w:rsidRPr="00902BFB">
        <w:rPr>
          <w:rFonts w:ascii="Arial" w:hAnsi="Arial" w:cs="Arial"/>
        </w:rPr>
        <w:t xml:space="preserve">) </w:t>
      </w:r>
      <w:proofErr w:type="spellStart"/>
      <w:r w:rsidRPr="00902BFB">
        <w:rPr>
          <w:rFonts w:ascii="Arial" w:hAnsi="Arial" w:cs="Arial"/>
        </w:rPr>
        <w:t>mjeseci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staža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osiguranja</w:t>
      </w:r>
      <w:proofErr w:type="spellEnd"/>
      <w:r w:rsidRPr="00902BFB">
        <w:rPr>
          <w:rFonts w:ascii="Arial" w:hAnsi="Arial" w:cs="Arial"/>
        </w:rPr>
        <w:t xml:space="preserve">. </w:t>
      </w:r>
      <w:proofErr w:type="spellStart"/>
      <w:r w:rsidRPr="00902BFB">
        <w:rPr>
          <w:rFonts w:ascii="Arial" w:hAnsi="Arial" w:cs="Arial"/>
        </w:rPr>
        <w:t>Prema</w:t>
      </w:r>
      <w:proofErr w:type="spellEnd"/>
      <w:r w:rsidRPr="00902BFB">
        <w:rPr>
          <w:rFonts w:ascii="Arial" w:hAnsi="Arial" w:cs="Arial"/>
        </w:rPr>
        <w:t xml:space="preserve"> tome </w:t>
      </w:r>
      <w:proofErr w:type="spellStart"/>
      <w:r w:rsidRPr="00902BFB">
        <w:rPr>
          <w:rFonts w:ascii="Arial" w:hAnsi="Arial" w:cs="Arial"/>
        </w:rPr>
        <w:t>na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go</w:t>
      </w:r>
      <w:r w:rsidR="00E53046">
        <w:rPr>
          <w:rFonts w:ascii="Arial" w:hAnsi="Arial" w:cs="Arial"/>
        </w:rPr>
        <w:t>dišnjoj</w:t>
      </w:r>
      <w:proofErr w:type="spellEnd"/>
      <w:r w:rsidR="00E53046">
        <w:rPr>
          <w:rFonts w:ascii="Arial" w:hAnsi="Arial" w:cs="Arial"/>
        </w:rPr>
        <w:t xml:space="preserve"> </w:t>
      </w:r>
      <w:proofErr w:type="spellStart"/>
      <w:r w:rsidR="00E53046">
        <w:rPr>
          <w:rFonts w:ascii="Arial" w:hAnsi="Arial" w:cs="Arial"/>
        </w:rPr>
        <w:t>razini</w:t>
      </w:r>
      <w:proofErr w:type="spellEnd"/>
      <w:r w:rsidR="00E53046">
        <w:rPr>
          <w:rFonts w:ascii="Arial" w:hAnsi="Arial" w:cs="Arial"/>
        </w:rPr>
        <w:t xml:space="preserve"> </w:t>
      </w:r>
      <w:proofErr w:type="spellStart"/>
      <w:r w:rsidRPr="00902BFB">
        <w:rPr>
          <w:rFonts w:ascii="Arial" w:hAnsi="Arial" w:cs="Arial"/>
        </w:rPr>
        <w:t>predviđena</w:t>
      </w:r>
      <w:proofErr w:type="spellEnd"/>
      <w:r w:rsidRPr="00902BFB">
        <w:rPr>
          <w:rFonts w:ascii="Arial" w:hAnsi="Arial" w:cs="Arial"/>
        </w:rPr>
        <w:t xml:space="preserve"> je </w:t>
      </w:r>
      <w:proofErr w:type="spellStart"/>
      <w:r w:rsidRPr="00902BFB">
        <w:rPr>
          <w:rFonts w:ascii="Arial" w:hAnsi="Arial" w:cs="Arial"/>
        </w:rPr>
        <w:t>isplata</w:t>
      </w:r>
      <w:proofErr w:type="spellEnd"/>
      <w:r w:rsidRPr="00902BFB">
        <w:rPr>
          <w:rFonts w:ascii="Arial" w:hAnsi="Arial" w:cs="Arial"/>
        </w:rPr>
        <w:t xml:space="preserve"> </w:t>
      </w:r>
      <w:proofErr w:type="spellStart"/>
      <w:r w:rsidR="00E53046">
        <w:rPr>
          <w:rFonts w:ascii="Arial" w:hAnsi="Arial" w:cs="Arial"/>
        </w:rPr>
        <w:t>za</w:t>
      </w:r>
      <w:proofErr w:type="spellEnd"/>
      <w:r w:rsidR="00625585">
        <w:rPr>
          <w:rFonts w:ascii="Arial" w:hAnsi="Arial" w:cs="Arial"/>
        </w:rPr>
        <w:t xml:space="preserve"> </w:t>
      </w:r>
      <w:proofErr w:type="spellStart"/>
      <w:r w:rsidR="00E53046">
        <w:rPr>
          <w:rFonts w:ascii="Arial" w:hAnsi="Arial" w:cs="Arial"/>
        </w:rPr>
        <w:t>p</w:t>
      </w:r>
      <w:r w:rsidR="00625585">
        <w:rPr>
          <w:rFonts w:ascii="Arial" w:hAnsi="Arial" w:cs="Arial"/>
        </w:rPr>
        <w:t>o</w:t>
      </w:r>
      <w:proofErr w:type="spellEnd"/>
      <w:r w:rsidR="00625585">
        <w:rPr>
          <w:rFonts w:ascii="Arial" w:hAnsi="Arial" w:cs="Arial"/>
        </w:rPr>
        <w:t xml:space="preserve"> </w:t>
      </w:r>
      <w:proofErr w:type="spellStart"/>
      <w:r w:rsidR="00625585">
        <w:rPr>
          <w:rFonts w:ascii="Arial" w:hAnsi="Arial" w:cs="Arial"/>
        </w:rPr>
        <w:t>jednog</w:t>
      </w:r>
      <w:proofErr w:type="spellEnd"/>
      <w:r w:rsidR="00625585">
        <w:rPr>
          <w:rFonts w:ascii="Arial" w:hAnsi="Arial" w:cs="Arial"/>
        </w:rPr>
        <w:t xml:space="preserve"> </w:t>
      </w:r>
      <w:proofErr w:type="spellStart"/>
      <w:r w:rsidR="00625585">
        <w:rPr>
          <w:rFonts w:ascii="Arial" w:hAnsi="Arial" w:cs="Arial"/>
        </w:rPr>
        <w:t>zamjenika</w:t>
      </w:r>
      <w:proofErr w:type="spellEnd"/>
      <w:r w:rsidR="00625585">
        <w:rPr>
          <w:rFonts w:ascii="Arial" w:hAnsi="Arial" w:cs="Arial"/>
        </w:rPr>
        <w:t xml:space="preserve"> </w:t>
      </w:r>
      <w:proofErr w:type="spellStart"/>
      <w:r w:rsidR="00625585">
        <w:rPr>
          <w:rFonts w:ascii="Arial" w:hAnsi="Arial" w:cs="Arial"/>
        </w:rPr>
        <w:t>i</w:t>
      </w:r>
      <w:proofErr w:type="spellEnd"/>
      <w:r w:rsidR="00625585">
        <w:rPr>
          <w:rFonts w:ascii="Arial" w:hAnsi="Arial" w:cs="Arial"/>
        </w:rPr>
        <w:t xml:space="preserve"> to u 2023.</w:t>
      </w:r>
      <w:proofErr w:type="gramStart"/>
      <w:r w:rsidR="00625585">
        <w:rPr>
          <w:rFonts w:ascii="Arial" w:hAnsi="Arial" w:cs="Arial"/>
        </w:rPr>
        <w:t>,2024.i</w:t>
      </w:r>
      <w:proofErr w:type="gramEnd"/>
      <w:r w:rsidR="00625585">
        <w:rPr>
          <w:rFonts w:ascii="Arial" w:hAnsi="Arial" w:cs="Arial"/>
        </w:rPr>
        <w:t xml:space="preserve"> 2025.godini. </w:t>
      </w:r>
    </w:p>
    <w:p w:rsidR="00EE7E2B" w:rsidRDefault="00EE7E2B" w:rsidP="00EE7E2B">
      <w:pPr>
        <w:jc w:val="both"/>
        <w:rPr>
          <w:rFonts w:ascii="Arial" w:hAnsi="Arial" w:cs="Arial"/>
          <w:b/>
          <w:szCs w:val="24"/>
        </w:rPr>
      </w:pPr>
    </w:p>
    <w:p w:rsidR="00EE7E2B" w:rsidRPr="00633F4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633F45">
        <w:rPr>
          <w:rFonts w:ascii="Arial" w:hAnsi="Arial" w:cs="Arial"/>
        </w:rPr>
        <w:t>Planirani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u 2024 god.</w:t>
      </w:r>
      <w:proofErr w:type="gramEnd"/>
      <w:r w:rsidRPr="00633F45">
        <w:rPr>
          <w:rFonts w:ascii="Arial" w:hAnsi="Arial" w:cs="Arial"/>
        </w:rPr>
        <w:t xml:space="preserve"> </w:t>
      </w:r>
      <w:proofErr w:type="spellStart"/>
      <w:proofErr w:type="gramStart"/>
      <w:r w:rsidRPr="00633F45">
        <w:rPr>
          <w:rFonts w:ascii="Arial" w:hAnsi="Arial" w:cs="Arial"/>
        </w:rPr>
        <w:t>su</w:t>
      </w:r>
      <w:proofErr w:type="spellEnd"/>
      <w:proofErr w:type="gram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1B3860">
        <w:rPr>
          <w:rFonts w:ascii="Arial" w:hAnsi="Arial" w:cs="Arial"/>
        </w:rPr>
        <w:t>1.131.823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od toga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1B3860">
        <w:rPr>
          <w:rFonts w:ascii="Arial" w:hAnsi="Arial" w:cs="Arial"/>
        </w:rPr>
        <w:t>742.319</w:t>
      </w:r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</w:t>
      </w:r>
      <w:r>
        <w:rPr>
          <w:rFonts w:ascii="Arial" w:hAnsi="Arial" w:cs="Arial"/>
        </w:rPr>
        <w:t>ashode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izdatke</w:t>
      </w:r>
      <w:proofErr w:type="spellEnd"/>
      <w:r w:rsidR="007C283F">
        <w:rPr>
          <w:rFonts w:ascii="Arial" w:hAnsi="Arial" w:cs="Arial"/>
        </w:rPr>
        <w:t xml:space="preserve"> u </w:t>
      </w:r>
      <w:proofErr w:type="spellStart"/>
      <w:r w:rsidR="007C283F">
        <w:rPr>
          <w:rFonts w:ascii="Arial" w:hAnsi="Arial" w:cs="Arial"/>
        </w:rPr>
        <w:t>iznosu</w:t>
      </w:r>
      <w:proofErr w:type="spellEnd"/>
      <w:r w:rsidR="007C283F">
        <w:rPr>
          <w:rFonts w:ascii="Arial" w:hAnsi="Arial" w:cs="Arial"/>
        </w:rPr>
        <w:t xml:space="preserve"> od 381.540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</w:t>
      </w:r>
      <w:r>
        <w:rPr>
          <w:rFonts w:ascii="Arial" w:hAnsi="Arial" w:cs="Arial"/>
        </w:rPr>
        <w:t>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zaposlene</w:t>
      </w:r>
      <w:proofErr w:type="spellEnd"/>
      <w:r>
        <w:rPr>
          <w:rFonts w:ascii="Arial" w:hAnsi="Arial" w:cs="Arial"/>
        </w:rPr>
        <w:t xml:space="preserve"> ,a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materijalnih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rashoda</w:t>
      </w:r>
      <w:proofErr w:type="spellEnd"/>
      <w:r>
        <w:rPr>
          <w:rFonts w:ascii="Arial" w:hAnsi="Arial" w:cs="Arial"/>
        </w:rPr>
        <w:t xml:space="preserve"> -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1B3860">
        <w:rPr>
          <w:rFonts w:ascii="Arial" w:hAnsi="Arial" w:cs="Arial"/>
        </w:rPr>
        <w:t>146.008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>dnose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na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iznose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godišnje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proofErr w:type="gramStart"/>
      <w:r w:rsidRPr="00633F45">
        <w:rPr>
          <w:rFonts w:ascii="Arial" w:hAnsi="Arial" w:cs="Arial"/>
          <w:bCs/>
        </w:rPr>
        <w:t>nabavu</w:t>
      </w:r>
      <w:proofErr w:type="spellEnd"/>
      <w:r>
        <w:rPr>
          <w:rFonts w:ascii="Arial" w:hAnsi="Arial" w:cs="Arial"/>
          <w:bCs/>
        </w:rPr>
        <w:t xml:space="preserve"> 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proofErr w:type="gram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dva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auta</w:t>
      </w:r>
      <w:proofErr w:type="spellEnd"/>
      <w:r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razdoblje</w:t>
      </w:r>
      <w:proofErr w:type="spellEnd"/>
      <w:r w:rsidRPr="00633F45">
        <w:rPr>
          <w:rFonts w:ascii="Arial" w:hAnsi="Arial" w:cs="Arial"/>
          <w:bCs/>
        </w:rPr>
        <w:t xml:space="preserve"> o</w:t>
      </w:r>
      <w:r w:rsidR="001B3860">
        <w:rPr>
          <w:rFonts w:ascii="Arial" w:hAnsi="Arial" w:cs="Arial"/>
          <w:bCs/>
        </w:rPr>
        <w:t xml:space="preserve">d 5 </w:t>
      </w:r>
      <w:proofErr w:type="spellStart"/>
      <w:r w:rsidR="001B3860">
        <w:rPr>
          <w:rFonts w:ascii="Arial" w:hAnsi="Arial" w:cs="Arial"/>
          <w:bCs/>
        </w:rPr>
        <w:t>godina</w:t>
      </w:r>
      <w:proofErr w:type="spellEnd"/>
      <w:r w:rsidR="001B3860">
        <w:rPr>
          <w:rFonts w:ascii="Arial" w:hAnsi="Arial" w:cs="Arial"/>
          <w:bCs/>
        </w:rPr>
        <w:t xml:space="preserve"> </w:t>
      </w:r>
      <w:proofErr w:type="spellStart"/>
      <w:r w:rsidR="001B3860">
        <w:rPr>
          <w:rFonts w:ascii="Arial" w:hAnsi="Arial" w:cs="Arial"/>
          <w:bCs/>
        </w:rPr>
        <w:t>za</w:t>
      </w:r>
      <w:proofErr w:type="spellEnd"/>
      <w:r w:rsidR="001B3860">
        <w:rPr>
          <w:rFonts w:ascii="Arial" w:hAnsi="Arial" w:cs="Arial"/>
          <w:bCs/>
        </w:rPr>
        <w:t xml:space="preserve"> 2024. </w:t>
      </w:r>
      <w:proofErr w:type="gramStart"/>
      <w:r w:rsidR="001B3860">
        <w:rPr>
          <w:rFonts w:ascii="Arial" w:hAnsi="Arial" w:cs="Arial"/>
          <w:bCs/>
        </w:rPr>
        <w:t>u</w:t>
      </w:r>
      <w:proofErr w:type="gramEnd"/>
      <w:r w:rsidR="001B3860">
        <w:rPr>
          <w:rFonts w:ascii="Arial" w:hAnsi="Arial" w:cs="Arial"/>
          <w:bCs/>
        </w:rPr>
        <w:t xml:space="preserve"> </w:t>
      </w:r>
      <w:proofErr w:type="spellStart"/>
      <w:r w:rsidR="001B3860">
        <w:rPr>
          <w:rFonts w:ascii="Arial" w:hAnsi="Arial" w:cs="Arial"/>
          <w:bCs/>
        </w:rPr>
        <w:t>iznosu</w:t>
      </w:r>
      <w:proofErr w:type="spellEnd"/>
      <w:r w:rsidR="001B3860">
        <w:rPr>
          <w:rFonts w:ascii="Arial" w:hAnsi="Arial" w:cs="Arial"/>
          <w:bCs/>
        </w:rPr>
        <w:t xml:space="preserve"> od 7.</w:t>
      </w:r>
      <w:r>
        <w:rPr>
          <w:rFonts w:ascii="Arial" w:hAnsi="Arial" w:cs="Arial"/>
          <w:bCs/>
        </w:rPr>
        <w:t>3</w:t>
      </w:r>
      <w:r w:rsidR="001B3860">
        <w:rPr>
          <w:rFonts w:ascii="Arial" w:hAnsi="Arial" w:cs="Arial"/>
          <w:bCs/>
        </w:rPr>
        <w:t>00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EE7E2B" w:rsidRPr="00633F4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</w:p>
    <w:p w:rsidR="00EE7E2B" w:rsidRPr="00633F45" w:rsidRDefault="00EE7E2B" w:rsidP="00EE7E2B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proofErr w:type="gramStart"/>
      <w:r w:rsidRPr="00633F45">
        <w:rPr>
          <w:rFonts w:ascii="Arial" w:hAnsi="Arial" w:cs="Arial"/>
        </w:rPr>
        <w:t>Planirani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u 2025 god.</w:t>
      </w:r>
      <w:proofErr w:type="gram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</w:t>
      </w:r>
      <w:r w:rsidR="008755C5">
        <w:rPr>
          <w:rFonts w:ascii="Arial" w:hAnsi="Arial" w:cs="Arial"/>
        </w:rPr>
        <w:t>1.133.427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 od toga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</w:t>
      </w:r>
      <w:r w:rsidR="00A01213">
        <w:rPr>
          <w:rFonts w:ascii="Arial" w:hAnsi="Arial" w:cs="Arial"/>
        </w:rPr>
        <w:t xml:space="preserve">753.068 </w:t>
      </w:r>
      <w:proofErr w:type="spellStart"/>
      <w:r w:rsidRPr="00633F4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48093B">
        <w:rPr>
          <w:rFonts w:ascii="Arial" w:hAnsi="Arial" w:cs="Arial"/>
        </w:rPr>
        <w:t xml:space="preserve"> 372.130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, od </w:t>
      </w:r>
      <w:proofErr w:type="spellStart"/>
      <w:r w:rsidRPr="00633F45">
        <w:rPr>
          <w:rFonts w:ascii="Arial" w:hAnsi="Arial" w:cs="Arial"/>
        </w:rPr>
        <w:t>čega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za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A01213">
        <w:rPr>
          <w:rFonts w:ascii="Arial" w:hAnsi="Arial" w:cs="Arial"/>
        </w:rPr>
        <w:t>135.404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odnose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iznose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godiš</w:t>
      </w:r>
      <w:r>
        <w:rPr>
          <w:rFonts w:ascii="Arial" w:hAnsi="Arial" w:cs="Arial"/>
          <w:bCs/>
        </w:rPr>
        <w:t>nje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r>
        <w:rPr>
          <w:rFonts w:ascii="Arial" w:hAnsi="Arial" w:cs="Arial"/>
          <w:bCs/>
        </w:rPr>
        <w:t xml:space="preserve"> (</w:t>
      </w:r>
      <w:proofErr w:type="spellStart"/>
      <w:r>
        <w:rPr>
          <w:rFonts w:ascii="Arial" w:hAnsi="Arial" w:cs="Arial"/>
          <w:bCs/>
        </w:rPr>
        <w:t>dva</w:t>
      </w:r>
      <w:proofErr w:type="spellEnd"/>
      <w:r>
        <w:rPr>
          <w:rFonts w:ascii="Arial" w:hAnsi="Arial" w:cs="Arial"/>
          <w:bCs/>
        </w:rPr>
        <w:t xml:space="preserve"> </w:t>
      </w:r>
      <w:proofErr w:type="spellStart"/>
      <w:r>
        <w:rPr>
          <w:rFonts w:ascii="Arial" w:hAnsi="Arial" w:cs="Arial"/>
          <w:bCs/>
        </w:rPr>
        <w:t>auta</w:t>
      </w:r>
      <w:proofErr w:type="spellEnd"/>
      <w:proofErr w:type="gramStart"/>
      <w:r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proofErr w:type="gram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razdoblje</w:t>
      </w:r>
      <w:proofErr w:type="spellEnd"/>
      <w:r w:rsidRPr="00633F45">
        <w:rPr>
          <w:rFonts w:ascii="Arial" w:hAnsi="Arial" w:cs="Arial"/>
          <w:bCs/>
        </w:rPr>
        <w:t xml:space="preserve"> od 5 </w:t>
      </w:r>
      <w:proofErr w:type="spellStart"/>
      <w:r w:rsidRPr="00633F45">
        <w:rPr>
          <w:rFonts w:ascii="Arial" w:hAnsi="Arial" w:cs="Arial"/>
          <w:bCs/>
        </w:rPr>
        <w:t>godina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za</w:t>
      </w:r>
      <w:proofErr w:type="spellEnd"/>
      <w:r w:rsidRPr="00633F45">
        <w:rPr>
          <w:rFonts w:ascii="Arial" w:hAnsi="Arial" w:cs="Arial"/>
          <w:bCs/>
        </w:rPr>
        <w:t xml:space="preserve"> 2025</w:t>
      </w:r>
      <w:r w:rsidR="00A01213">
        <w:rPr>
          <w:rFonts w:ascii="Arial" w:hAnsi="Arial" w:cs="Arial"/>
          <w:bCs/>
        </w:rPr>
        <w:t xml:space="preserve">. </w:t>
      </w:r>
      <w:proofErr w:type="gramStart"/>
      <w:r w:rsidR="00A01213">
        <w:rPr>
          <w:rFonts w:ascii="Arial" w:hAnsi="Arial" w:cs="Arial"/>
          <w:bCs/>
        </w:rPr>
        <w:t>u</w:t>
      </w:r>
      <w:proofErr w:type="gramEnd"/>
      <w:r w:rsidR="00A01213">
        <w:rPr>
          <w:rFonts w:ascii="Arial" w:hAnsi="Arial" w:cs="Arial"/>
          <w:bCs/>
        </w:rPr>
        <w:t xml:space="preserve"> </w:t>
      </w:r>
      <w:proofErr w:type="spellStart"/>
      <w:r w:rsidR="00A01213">
        <w:rPr>
          <w:rFonts w:ascii="Arial" w:hAnsi="Arial" w:cs="Arial"/>
          <w:bCs/>
        </w:rPr>
        <w:t>iznosu</w:t>
      </w:r>
      <w:proofErr w:type="spellEnd"/>
      <w:r w:rsidR="00A01213">
        <w:rPr>
          <w:rFonts w:ascii="Arial" w:hAnsi="Arial" w:cs="Arial"/>
          <w:bCs/>
        </w:rPr>
        <w:t xml:space="preserve"> od 7</w:t>
      </w:r>
      <w:r w:rsidRPr="00633F45">
        <w:rPr>
          <w:rFonts w:ascii="Arial" w:hAnsi="Arial" w:cs="Arial"/>
          <w:bCs/>
        </w:rPr>
        <w:t>.</w:t>
      </w:r>
      <w:r w:rsidR="00A01213">
        <w:rPr>
          <w:rFonts w:ascii="Arial" w:hAnsi="Arial" w:cs="Arial"/>
          <w:bCs/>
        </w:rPr>
        <w:t>565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82386F" w:rsidRDefault="0082386F" w:rsidP="0082386F">
      <w:pPr>
        <w:jc w:val="both"/>
        <w:rPr>
          <w:rFonts w:ascii="Arial" w:hAnsi="Arial" w:cs="Arial"/>
          <w:b/>
          <w:szCs w:val="24"/>
        </w:rPr>
      </w:pPr>
    </w:p>
    <w:p w:rsidR="00816CF0" w:rsidRDefault="00816CF0" w:rsidP="0082386F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82386F">
      <w:pPr>
        <w:jc w:val="both"/>
        <w:rPr>
          <w:rFonts w:ascii="Arial" w:hAnsi="Arial" w:cs="Arial"/>
          <w:b/>
          <w:szCs w:val="24"/>
        </w:rPr>
      </w:pPr>
    </w:p>
    <w:p w:rsidR="002C553A" w:rsidRDefault="002C553A" w:rsidP="0082386F">
      <w:pPr>
        <w:jc w:val="both"/>
        <w:rPr>
          <w:rFonts w:ascii="Arial" w:hAnsi="Arial" w:cs="Arial"/>
          <w:b/>
          <w:szCs w:val="24"/>
        </w:rPr>
      </w:pPr>
    </w:p>
    <w:p w:rsidR="002C553A" w:rsidRDefault="002C553A" w:rsidP="0082386F">
      <w:pPr>
        <w:jc w:val="both"/>
        <w:rPr>
          <w:rFonts w:ascii="Arial" w:hAnsi="Arial" w:cs="Arial"/>
          <w:b/>
          <w:szCs w:val="24"/>
        </w:rPr>
      </w:pPr>
    </w:p>
    <w:p w:rsidR="002C553A" w:rsidRDefault="002C553A" w:rsidP="0082386F">
      <w:pPr>
        <w:jc w:val="both"/>
        <w:rPr>
          <w:rFonts w:ascii="Arial" w:hAnsi="Arial" w:cs="Arial"/>
          <w:b/>
          <w:szCs w:val="24"/>
        </w:rPr>
      </w:pPr>
    </w:p>
    <w:p w:rsidR="002C553A" w:rsidRDefault="002C553A" w:rsidP="0082386F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82386F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lastRenderedPageBreak/>
        <w:t>PRIJENOS SREDSTAVA IZ PRETHODNE GODINE I U SLJEDEĆU GODINU</w:t>
      </w:r>
    </w:p>
    <w:p w:rsidR="0082386F" w:rsidRDefault="0082386F" w:rsidP="0082386F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82386F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Nememo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prijenosa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prethodne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ili</w:t>
      </w:r>
      <w:proofErr w:type="spellEnd"/>
      <w:proofErr w:type="gramEnd"/>
      <w:r>
        <w:rPr>
          <w:rFonts w:ascii="Arial" w:hAnsi="Arial" w:cs="Arial"/>
          <w:szCs w:val="24"/>
        </w:rPr>
        <w:t xml:space="preserve"> u </w:t>
      </w:r>
      <w:proofErr w:type="spellStart"/>
      <w:r>
        <w:rPr>
          <w:rFonts w:ascii="Arial" w:hAnsi="Arial" w:cs="Arial"/>
          <w:szCs w:val="24"/>
        </w:rPr>
        <w:t>sljedeću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donos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odnos</w:t>
      </w:r>
      <w:proofErr w:type="spellEnd"/>
      <w:r>
        <w:rPr>
          <w:rFonts w:ascii="Arial" w:hAnsi="Arial" w:cs="Arial"/>
          <w:szCs w:val="24"/>
        </w:rPr>
        <w:t>.</w:t>
      </w:r>
    </w:p>
    <w:p w:rsidR="000A3314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0A3314">
      <w:pPr>
        <w:jc w:val="both"/>
        <w:rPr>
          <w:rFonts w:ascii="Arial" w:hAnsi="Arial" w:cs="Arial"/>
          <w:b/>
          <w:szCs w:val="24"/>
        </w:rPr>
      </w:pPr>
    </w:p>
    <w:p w:rsidR="0082386F" w:rsidRDefault="0082386F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u w:val="single"/>
        </w:rPr>
      </w:pPr>
      <w:r w:rsidRPr="00471FCC">
        <w:rPr>
          <w:rFonts w:ascii="Arial" w:hAnsi="Arial" w:cs="Arial"/>
          <w:b/>
          <w:szCs w:val="24"/>
          <w:u w:val="single"/>
        </w:rPr>
        <w:t>UKUPNE I DOSPJELE OBVEZE</w:t>
      </w: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  <w:u w:val="single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b/>
          <w:szCs w:val="24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szCs w:val="24"/>
        </w:rPr>
      </w:pPr>
      <w:proofErr w:type="spellStart"/>
      <w:r w:rsidRPr="00471FCC">
        <w:rPr>
          <w:rFonts w:ascii="Arial" w:hAnsi="Arial" w:cs="Arial"/>
          <w:szCs w:val="24"/>
        </w:rPr>
        <w:t>Prikaz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stanja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ukupnih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i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dospjelih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obveza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471FCC">
        <w:rPr>
          <w:rFonts w:ascii="Arial" w:hAnsi="Arial" w:cs="Arial"/>
          <w:szCs w:val="24"/>
        </w:rPr>
        <w:t>na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dan</w:t>
      </w:r>
      <w:proofErr w:type="spellEnd"/>
      <w:r w:rsidRPr="00471FCC">
        <w:rPr>
          <w:rFonts w:ascii="Arial" w:hAnsi="Arial" w:cs="Arial"/>
          <w:szCs w:val="24"/>
        </w:rPr>
        <w:t xml:space="preserve"> 31. </w:t>
      </w:r>
      <w:proofErr w:type="spellStart"/>
      <w:proofErr w:type="gramStart"/>
      <w:r w:rsidRPr="00471FCC">
        <w:rPr>
          <w:rFonts w:ascii="Arial" w:hAnsi="Arial" w:cs="Arial"/>
          <w:szCs w:val="24"/>
        </w:rPr>
        <w:t>prosinca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2021.</w:t>
      </w:r>
      <w:r w:rsidRPr="00471FCC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471FCC">
        <w:rPr>
          <w:rFonts w:ascii="Arial" w:hAnsi="Arial" w:cs="Arial"/>
          <w:szCs w:val="24"/>
        </w:rPr>
        <w:t>i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na</w:t>
      </w:r>
      <w:proofErr w:type="spellEnd"/>
      <w:r w:rsidRPr="00471FCC">
        <w:rPr>
          <w:rFonts w:ascii="Arial" w:hAnsi="Arial" w:cs="Arial"/>
          <w:szCs w:val="24"/>
        </w:rPr>
        <w:t xml:space="preserve"> </w:t>
      </w:r>
      <w:proofErr w:type="spellStart"/>
      <w:r w:rsidRPr="00471FCC">
        <w:rPr>
          <w:rFonts w:ascii="Arial" w:hAnsi="Arial" w:cs="Arial"/>
          <w:szCs w:val="24"/>
        </w:rPr>
        <w:t>dan</w:t>
      </w:r>
      <w:proofErr w:type="spellEnd"/>
      <w:r w:rsidRPr="00471FCC">
        <w:rPr>
          <w:rFonts w:ascii="Arial" w:hAnsi="Arial" w:cs="Arial"/>
          <w:szCs w:val="24"/>
        </w:rPr>
        <w:t xml:space="preserve"> 30. </w:t>
      </w:r>
      <w:proofErr w:type="spellStart"/>
      <w:proofErr w:type="gramStart"/>
      <w:r w:rsidRPr="00471FCC">
        <w:rPr>
          <w:rFonts w:ascii="Arial" w:hAnsi="Arial" w:cs="Arial"/>
          <w:szCs w:val="24"/>
        </w:rPr>
        <w:t>lipnja</w:t>
      </w:r>
      <w:proofErr w:type="spellEnd"/>
      <w:proofErr w:type="gramEnd"/>
      <w:r w:rsidRPr="00471FC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2022</w:t>
      </w:r>
      <w:r w:rsidRPr="00471FCC">
        <w:rPr>
          <w:rFonts w:ascii="Arial" w:hAnsi="Arial" w:cs="Arial"/>
          <w:szCs w:val="24"/>
        </w:rPr>
        <w:t xml:space="preserve">. </w:t>
      </w:r>
    </w:p>
    <w:p w:rsidR="000A3314" w:rsidRPr="00471FCC" w:rsidRDefault="000A3314" w:rsidP="000A3314">
      <w:pPr>
        <w:jc w:val="both"/>
        <w:rPr>
          <w:rFonts w:ascii="Arial" w:hAnsi="Arial" w:cs="Arial"/>
          <w:szCs w:val="24"/>
        </w:rPr>
      </w:pPr>
    </w:p>
    <w:p w:rsidR="000A3314" w:rsidRPr="00471FCC" w:rsidRDefault="000A3314" w:rsidP="000A3314">
      <w:pPr>
        <w:jc w:val="both"/>
        <w:rPr>
          <w:rFonts w:ascii="Arial" w:hAnsi="Arial" w:cs="Arial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</w:tcPr>
          <w:p w:rsidR="000A3314" w:rsidRPr="00471FCC" w:rsidRDefault="000A3314" w:rsidP="00C644D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Stanje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na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dan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31.12.2021.</w:t>
            </w:r>
          </w:p>
        </w:tc>
        <w:tc>
          <w:tcPr>
            <w:tcW w:w="3680" w:type="dxa"/>
          </w:tcPr>
          <w:p w:rsidR="000A3314" w:rsidRPr="00471FCC" w:rsidRDefault="000A3314" w:rsidP="00C644D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Stanje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na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dan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30.06.2022.</w:t>
            </w:r>
          </w:p>
        </w:tc>
      </w:tr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Ukupne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r w:rsidRPr="00471FCC">
              <w:rPr>
                <w:rFonts w:ascii="Arial" w:hAnsi="Arial" w:cs="Arial"/>
                <w:szCs w:val="24"/>
              </w:rPr>
              <w:t xml:space="preserve">599.367,49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kuna</w:t>
            </w:r>
            <w:proofErr w:type="spellEnd"/>
          </w:p>
        </w:tc>
        <w:tc>
          <w:tcPr>
            <w:tcW w:w="3680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r w:rsidRPr="00471FCC">
              <w:rPr>
                <w:rFonts w:ascii="Arial" w:hAnsi="Arial" w:cs="Arial"/>
                <w:szCs w:val="24"/>
              </w:rPr>
              <w:t xml:space="preserve">714.961,91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kuna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Dospjele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r w:rsidRPr="00471FCC">
              <w:rPr>
                <w:rFonts w:ascii="Arial" w:hAnsi="Arial" w:cs="Arial"/>
                <w:szCs w:val="24"/>
              </w:rPr>
              <w:t xml:space="preserve">  93.225,00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kuna</w:t>
            </w:r>
            <w:proofErr w:type="spellEnd"/>
          </w:p>
        </w:tc>
        <w:tc>
          <w:tcPr>
            <w:tcW w:w="3680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r w:rsidRPr="00471FCC">
              <w:rPr>
                <w:rFonts w:ascii="Arial" w:hAnsi="Arial" w:cs="Arial"/>
                <w:szCs w:val="24"/>
              </w:rPr>
              <w:t xml:space="preserve">           0,00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kuna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:rsidR="000A3314" w:rsidRPr="00471FCC" w:rsidRDefault="000A3314" w:rsidP="000A3314">
      <w:pPr>
        <w:pStyle w:val="Tijeloteksta"/>
        <w:rPr>
          <w:rFonts w:ascii="Arial" w:hAnsi="Arial" w:cs="Arial"/>
          <w:szCs w:val="24"/>
        </w:rPr>
      </w:pPr>
    </w:p>
    <w:p w:rsidR="000A3314" w:rsidRPr="00471FCC" w:rsidRDefault="000A3314" w:rsidP="000A3314">
      <w:pPr>
        <w:pStyle w:val="Tijeloteksta"/>
        <w:rPr>
          <w:rFonts w:ascii="Arial" w:hAnsi="Arial" w:cs="Arial"/>
          <w:color w:val="FF0000"/>
          <w:szCs w:val="24"/>
        </w:rPr>
      </w:pPr>
    </w:p>
    <w:p w:rsidR="000A3314" w:rsidRPr="00471FCC" w:rsidRDefault="000A3314" w:rsidP="000A3314">
      <w:pPr>
        <w:pStyle w:val="Tijeloteksta"/>
        <w:rPr>
          <w:rFonts w:ascii="Arial" w:hAnsi="Arial" w:cs="Arial"/>
          <w:color w:val="FF0000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544" w:type="dxa"/>
          </w:tcPr>
          <w:p w:rsidR="000A3314" w:rsidRPr="00471FCC" w:rsidRDefault="000A3314" w:rsidP="00C644D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Stanje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na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dan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31.12.2021.</w:t>
            </w:r>
          </w:p>
        </w:tc>
        <w:tc>
          <w:tcPr>
            <w:tcW w:w="3680" w:type="dxa"/>
          </w:tcPr>
          <w:p w:rsidR="000A3314" w:rsidRPr="00471FCC" w:rsidRDefault="000A3314" w:rsidP="00C644D9">
            <w:pPr>
              <w:jc w:val="center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Stanje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na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dan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30.06.2022.</w:t>
            </w:r>
          </w:p>
        </w:tc>
      </w:tr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Ukupne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r w:rsidRPr="00471FCC">
              <w:rPr>
                <w:rFonts w:ascii="Arial" w:hAnsi="Arial" w:cs="Arial"/>
                <w:szCs w:val="24"/>
              </w:rPr>
              <w:t xml:space="preserve">79.549,73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r w:rsidRPr="00471FCC">
              <w:rPr>
                <w:rFonts w:ascii="Arial" w:hAnsi="Arial" w:cs="Arial"/>
                <w:szCs w:val="24"/>
              </w:rPr>
              <w:t xml:space="preserve">94.891,75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</w:tr>
      <w:tr w:rsidR="000A3314" w:rsidRPr="00471FCC" w:rsidTr="00C644D9">
        <w:tc>
          <w:tcPr>
            <w:tcW w:w="1838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proofErr w:type="spellStart"/>
            <w:r w:rsidRPr="00471FCC">
              <w:rPr>
                <w:rFonts w:ascii="Arial" w:hAnsi="Arial" w:cs="Arial"/>
                <w:szCs w:val="24"/>
              </w:rPr>
              <w:t>Dospjele</w:t>
            </w:r>
            <w:proofErr w:type="spellEnd"/>
            <w:r w:rsidRPr="00471FCC">
              <w:rPr>
                <w:rFonts w:ascii="Arial" w:hAnsi="Arial" w:cs="Arial"/>
                <w:szCs w:val="24"/>
              </w:rPr>
              <w:t xml:space="preserve">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r w:rsidRPr="00471FCC">
              <w:rPr>
                <w:rFonts w:ascii="Arial" w:hAnsi="Arial" w:cs="Arial"/>
                <w:szCs w:val="24"/>
              </w:rPr>
              <w:t xml:space="preserve">12.373,08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</w:tcPr>
          <w:p w:rsidR="000A3314" w:rsidRPr="00471FCC" w:rsidRDefault="000A3314" w:rsidP="00C644D9">
            <w:pPr>
              <w:jc w:val="both"/>
              <w:rPr>
                <w:rFonts w:ascii="Arial" w:hAnsi="Arial" w:cs="Arial"/>
                <w:szCs w:val="24"/>
              </w:rPr>
            </w:pPr>
            <w:r w:rsidRPr="00471FCC">
              <w:rPr>
                <w:rFonts w:ascii="Arial" w:hAnsi="Arial" w:cs="Arial"/>
                <w:szCs w:val="24"/>
              </w:rPr>
              <w:t xml:space="preserve">        0,00 </w:t>
            </w:r>
            <w:proofErr w:type="spellStart"/>
            <w:r w:rsidRPr="00471FCC">
              <w:rPr>
                <w:rFonts w:ascii="Arial" w:hAnsi="Arial" w:cs="Arial"/>
                <w:szCs w:val="24"/>
              </w:rPr>
              <w:t>eura</w:t>
            </w:r>
            <w:proofErr w:type="spellEnd"/>
          </w:p>
        </w:tc>
      </w:tr>
    </w:tbl>
    <w:p w:rsidR="000A3314" w:rsidRPr="00471FCC" w:rsidRDefault="000A3314" w:rsidP="000A3314">
      <w:pPr>
        <w:pStyle w:val="Tijeloteksta"/>
        <w:rPr>
          <w:rFonts w:ascii="Arial" w:hAnsi="Arial" w:cs="Arial"/>
          <w:szCs w:val="24"/>
        </w:rPr>
      </w:pPr>
    </w:p>
    <w:p w:rsidR="000A3314" w:rsidRPr="00471FCC" w:rsidRDefault="000A3314" w:rsidP="000A3314">
      <w:pPr>
        <w:rPr>
          <w:rFonts w:ascii="Arial" w:hAnsi="Arial" w:cs="Arial"/>
          <w:szCs w:val="24"/>
        </w:rPr>
      </w:pPr>
    </w:p>
    <w:p w:rsidR="0082386F" w:rsidRPr="006A72E5" w:rsidRDefault="0082386F" w:rsidP="0082386F">
      <w:pPr>
        <w:pStyle w:val="Tijeloteksta"/>
        <w:jc w:val="center"/>
        <w:rPr>
          <w:rFonts w:ascii="Arial" w:hAnsi="Arial" w:cs="Arial"/>
          <w:color w:val="FF0000"/>
          <w:szCs w:val="24"/>
        </w:rPr>
      </w:pPr>
    </w:p>
    <w:p w:rsidR="0082386F" w:rsidRDefault="0082386F" w:rsidP="0082386F">
      <w:pPr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31.12.2021. </w:t>
      </w:r>
      <w:proofErr w:type="gramStart"/>
      <w:r>
        <w:rPr>
          <w:rFonts w:ascii="Arial" w:hAnsi="Arial" w:cs="Arial"/>
          <w:szCs w:val="24"/>
        </w:rPr>
        <w:t>je</w:t>
      </w:r>
      <w:proofErr w:type="gramEnd"/>
      <w:r>
        <w:rPr>
          <w:rFonts w:ascii="Arial" w:hAnsi="Arial" w:cs="Arial"/>
          <w:szCs w:val="24"/>
        </w:rPr>
        <w:t xml:space="preserve"> 599.367,49 </w:t>
      </w:r>
      <w:proofErr w:type="spellStart"/>
      <w:r>
        <w:rPr>
          <w:rFonts w:ascii="Arial" w:hAnsi="Arial" w:cs="Arial"/>
          <w:szCs w:val="24"/>
        </w:rPr>
        <w:t>kuna</w:t>
      </w:r>
      <w:proofErr w:type="spellEnd"/>
      <w:r>
        <w:rPr>
          <w:rFonts w:ascii="Arial" w:hAnsi="Arial" w:cs="Arial"/>
          <w:szCs w:val="24"/>
        </w:rPr>
        <w:t xml:space="preserve"> , to </w:t>
      </w:r>
      <w:proofErr w:type="spellStart"/>
      <w:r>
        <w:rPr>
          <w:rFonts w:ascii="Arial" w:hAnsi="Arial" w:cs="Arial"/>
          <w:szCs w:val="24"/>
        </w:rPr>
        <w:t>su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troškovi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plaću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prijevoz</w:t>
      </w:r>
      <w:proofErr w:type="spellEnd"/>
      <w:r>
        <w:rPr>
          <w:rFonts w:ascii="Arial" w:hAnsi="Arial" w:cs="Arial"/>
          <w:szCs w:val="24"/>
        </w:rPr>
        <w:t xml:space="preserve"> 12/2021.,nerefundirano </w:t>
      </w:r>
      <w:proofErr w:type="spellStart"/>
      <w:r>
        <w:rPr>
          <w:rFonts w:ascii="Arial" w:hAnsi="Arial" w:cs="Arial"/>
          <w:szCs w:val="24"/>
        </w:rPr>
        <w:t>bolovanje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materijalni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rashodi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82386F" w:rsidRDefault="0082386F" w:rsidP="0082386F">
      <w:pPr>
        <w:rPr>
          <w:rFonts w:ascii="Arial" w:hAnsi="Arial" w:cs="Arial"/>
          <w:szCs w:val="24"/>
        </w:rPr>
      </w:pPr>
      <w:proofErr w:type="spellStart"/>
      <w:proofErr w:type="gramStart"/>
      <w:r>
        <w:rPr>
          <w:rFonts w:ascii="Arial" w:hAnsi="Arial" w:cs="Arial"/>
          <w:szCs w:val="24"/>
        </w:rPr>
        <w:t>Ukupno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dospjele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obveze</w:t>
      </w:r>
      <w:proofErr w:type="spellEnd"/>
      <w:r>
        <w:rPr>
          <w:rFonts w:ascii="Arial" w:hAnsi="Arial" w:cs="Arial"/>
          <w:szCs w:val="24"/>
        </w:rPr>
        <w:t xml:space="preserve"> 93.225,00 </w:t>
      </w:r>
      <w:proofErr w:type="spellStart"/>
      <w:r>
        <w:rPr>
          <w:rFonts w:ascii="Arial" w:hAnsi="Arial" w:cs="Arial"/>
          <w:szCs w:val="24"/>
        </w:rPr>
        <w:t>kuna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dospjeli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materijalni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troškovi</w:t>
      </w:r>
      <w:proofErr w:type="spellEnd"/>
      <w:r>
        <w:rPr>
          <w:rFonts w:ascii="Arial" w:hAnsi="Arial" w:cs="Arial"/>
          <w:szCs w:val="24"/>
        </w:rPr>
        <w:t>.</w:t>
      </w:r>
      <w:proofErr w:type="gramEnd"/>
      <w:r>
        <w:rPr>
          <w:rFonts w:ascii="Arial" w:hAnsi="Arial" w:cs="Arial"/>
          <w:szCs w:val="24"/>
        </w:rPr>
        <w:t xml:space="preserve"> </w:t>
      </w:r>
    </w:p>
    <w:p w:rsidR="0082386F" w:rsidRDefault="0082386F" w:rsidP="0082386F"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Cs w:val="24"/>
        </w:rPr>
        <w:t>na</w:t>
      </w:r>
      <w:proofErr w:type="spellEnd"/>
      <w:proofErr w:type="gram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30.06.2022. </w:t>
      </w:r>
      <w:proofErr w:type="gramStart"/>
      <w:r>
        <w:rPr>
          <w:rFonts w:ascii="Arial" w:hAnsi="Arial" w:cs="Arial"/>
          <w:szCs w:val="24"/>
        </w:rPr>
        <w:t>je</w:t>
      </w:r>
      <w:proofErr w:type="gramEnd"/>
      <w:r>
        <w:rPr>
          <w:rFonts w:ascii="Arial" w:hAnsi="Arial" w:cs="Arial"/>
          <w:szCs w:val="24"/>
        </w:rPr>
        <w:t xml:space="preserve"> 714.961,91 </w:t>
      </w:r>
      <w:proofErr w:type="spellStart"/>
      <w:r>
        <w:rPr>
          <w:rFonts w:ascii="Arial" w:hAnsi="Arial" w:cs="Arial"/>
          <w:szCs w:val="24"/>
        </w:rPr>
        <w:t>kuna</w:t>
      </w:r>
      <w:proofErr w:type="spellEnd"/>
      <w:r>
        <w:rPr>
          <w:rFonts w:ascii="Arial" w:hAnsi="Arial" w:cs="Arial"/>
          <w:szCs w:val="24"/>
        </w:rPr>
        <w:t xml:space="preserve"> , to </w:t>
      </w:r>
      <w:proofErr w:type="spellStart"/>
      <w:r>
        <w:rPr>
          <w:rFonts w:ascii="Arial" w:hAnsi="Arial" w:cs="Arial"/>
          <w:szCs w:val="24"/>
        </w:rPr>
        <w:t>su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troškovi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plaću</w:t>
      </w:r>
      <w:proofErr w:type="spellEnd"/>
      <w:r>
        <w:rPr>
          <w:rFonts w:ascii="Arial" w:hAnsi="Arial" w:cs="Arial"/>
          <w:szCs w:val="24"/>
        </w:rPr>
        <w:t xml:space="preserve"> 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prijevoz</w:t>
      </w:r>
      <w:proofErr w:type="spellEnd"/>
      <w:r>
        <w:rPr>
          <w:rFonts w:ascii="Arial" w:hAnsi="Arial" w:cs="Arial"/>
          <w:szCs w:val="24"/>
        </w:rPr>
        <w:t xml:space="preserve"> 06/2022.,nerefundirano </w:t>
      </w:r>
      <w:proofErr w:type="spellStart"/>
      <w:r>
        <w:rPr>
          <w:rFonts w:ascii="Arial" w:hAnsi="Arial" w:cs="Arial"/>
          <w:szCs w:val="24"/>
        </w:rPr>
        <w:t>bolovanje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materijalni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rashodi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82386F" w:rsidRDefault="0082386F" w:rsidP="0082386F"/>
    <w:p w:rsidR="0082386F" w:rsidRDefault="0082386F" w:rsidP="0082386F"/>
    <w:p w:rsidR="0082386F" w:rsidRDefault="0082386F" w:rsidP="0082386F"/>
    <w:p w:rsidR="0082386F" w:rsidRDefault="0082386F" w:rsidP="0082386F"/>
    <w:p w:rsidR="0082386F" w:rsidRDefault="0082386F" w:rsidP="0082386F"/>
    <w:p w:rsidR="0082386F" w:rsidRPr="007C664F" w:rsidRDefault="0082386F" w:rsidP="0082386F">
      <w:pPr>
        <w:rPr>
          <w:rFonts w:ascii="Arial" w:hAnsi="Arial" w:cs="Arial"/>
          <w:szCs w:val="24"/>
        </w:rPr>
      </w:pPr>
    </w:p>
    <w:p w:rsidR="0082386F" w:rsidRPr="007C664F" w:rsidRDefault="0082386F" w:rsidP="0082386F">
      <w:pPr>
        <w:rPr>
          <w:rFonts w:ascii="Arial" w:hAnsi="Arial" w:cs="Arial"/>
          <w:szCs w:val="24"/>
        </w:rPr>
      </w:pPr>
    </w:p>
    <w:p w:rsidR="0082386F" w:rsidRPr="007C664F" w:rsidRDefault="0082386F" w:rsidP="0082386F">
      <w:pPr>
        <w:rPr>
          <w:rFonts w:ascii="Arial" w:hAnsi="Arial" w:cs="Arial"/>
          <w:szCs w:val="24"/>
        </w:rPr>
      </w:pPr>
      <w:r w:rsidRPr="007C664F">
        <w:rPr>
          <w:rFonts w:ascii="Arial" w:hAnsi="Arial" w:cs="Arial"/>
          <w:szCs w:val="24"/>
        </w:rPr>
        <w:t xml:space="preserve"> </w:t>
      </w:r>
      <w:proofErr w:type="gramStart"/>
      <w:r w:rsidRPr="007C664F">
        <w:rPr>
          <w:rFonts w:ascii="Arial" w:hAnsi="Arial" w:cs="Arial"/>
          <w:szCs w:val="24"/>
        </w:rPr>
        <w:t>Pula, 29.12.2022.</w:t>
      </w:r>
      <w:proofErr w:type="gramEnd"/>
      <w:r>
        <w:rPr>
          <w:rFonts w:ascii="Arial" w:hAnsi="Arial" w:cs="Arial"/>
          <w:szCs w:val="24"/>
        </w:rPr>
        <w:t xml:space="preserve">  </w:t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 ŽUPANIJSKI DRŽAVNI ODVJETNIK</w:t>
      </w:r>
      <w:r w:rsidRPr="007C664F">
        <w:rPr>
          <w:rFonts w:ascii="Arial" w:hAnsi="Arial" w:cs="Arial"/>
          <w:szCs w:val="24"/>
        </w:rPr>
        <w:t xml:space="preserve"> </w:t>
      </w:r>
    </w:p>
    <w:p w:rsidR="0082386F" w:rsidRPr="007C664F" w:rsidRDefault="0082386F" w:rsidP="0082386F">
      <w:pPr>
        <w:rPr>
          <w:rFonts w:ascii="Arial" w:hAnsi="Arial" w:cs="Arial"/>
          <w:szCs w:val="24"/>
        </w:rPr>
      </w:pP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 w:rsidRPr="007C664F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     Eddy Putigna</w:t>
      </w:r>
    </w:p>
    <w:p w:rsidR="0082386F" w:rsidRDefault="0082386F" w:rsidP="0082386F"/>
    <w:p w:rsidR="0081275A" w:rsidRDefault="00AF78E2"/>
    <w:sectPr w:rsidR="008127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C2022"/>
    <w:multiLevelType w:val="hybridMultilevel"/>
    <w:tmpl w:val="8EE4381A"/>
    <w:lvl w:ilvl="0" w:tplc="50843E4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314"/>
    <w:rsid w:val="000020DE"/>
    <w:rsid w:val="000A3314"/>
    <w:rsid w:val="001B3860"/>
    <w:rsid w:val="002C553A"/>
    <w:rsid w:val="0048093B"/>
    <w:rsid w:val="00553609"/>
    <w:rsid w:val="00625585"/>
    <w:rsid w:val="006657FF"/>
    <w:rsid w:val="007C283F"/>
    <w:rsid w:val="007E62E3"/>
    <w:rsid w:val="00816CF0"/>
    <w:rsid w:val="0082386F"/>
    <w:rsid w:val="008755C5"/>
    <w:rsid w:val="00A00A0C"/>
    <w:rsid w:val="00A01213"/>
    <w:rsid w:val="00AF78E2"/>
    <w:rsid w:val="00C15133"/>
    <w:rsid w:val="00C7393A"/>
    <w:rsid w:val="00D45FBE"/>
    <w:rsid w:val="00DB0340"/>
    <w:rsid w:val="00DC2A2D"/>
    <w:rsid w:val="00E53046"/>
    <w:rsid w:val="00EE7E2B"/>
    <w:rsid w:val="00F0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A3314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0A3314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0A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3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31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0A3314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0A3314"/>
    <w:rPr>
      <w:rFonts w:ascii="Times New Roman" w:eastAsia="Times New Roman" w:hAnsi="Times New Roman" w:cs="Times New Roman"/>
      <w:sz w:val="24"/>
      <w:szCs w:val="20"/>
      <w:lang w:eastAsia="hr-HR"/>
    </w:rPr>
  </w:style>
  <w:style w:type="table" w:styleId="Reetkatablice">
    <w:name w:val="Table Grid"/>
    <w:basedOn w:val="Obinatablica"/>
    <w:uiPriority w:val="39"/>
    <w:rsid w:val="000A3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3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835</Words>
  <Characters>4762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Brščić Vitasović</dc:creator>
  <cp:lastModifiedBy>Mirjana Brščić Vitasović</cp:lastModifiedBy>
  <cp:revision>18</cp:revision>
  <dcterms:created xsi:type="dcterms:W3CDTF">2023-01-18T12:10:00Z</dcterms:created>
  <dcterms:modified xsi:type="dcterms:W3CDTF">2023-01-18T13:20:00Z</dcterms:modified>
</cp:coreProperties>
</file>