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7280F4" w14:textId="7E2630A5" w:rsidR="007A7E45" w:rsidRDefault="00DE5409" w:rsidP="00DE5409">
      <w:pPr>
        <w:jc w:val="center"/>
        <w:rPr>
          <w:b/>
          <w:sz w:val="36"/>
          <w:szCs w:val="36"/>
        </w:rPr>
      </w:pPr>
      <w:r w:rsidRPr="00DE5409">
        <w:rPr>
          <w:b/>
          <w:sz w:val="36"/>
          <w:szCs w:val="36"/>
        </w:rPr>
        <w:t xml:space="preserve">Obrazloženje Financijskog plana </w:t>
      </w:r>
      <w:r w:rsidR="00334493">
        <w:rPr>
          <w:b/>
          <w:sz w:val="36"/>
          <w:szCs w:val="36"/>
        </w:rPr>
        <w:t>Državnog odvjetništva Republike Hrvatske</w:t>
      </w:r>
      <w:r w:rsidRPr="00DE5409">
        <w:rPr>
          <w:b/>
          <w:sz w:val="36"/>
          <w:szCs w:val="36"/>
        </w:rPr>
        <w:t xml:space="preserve"> za razdoblje 202</w:t>
      </w:r>
      <w:r w:rsidR="00FF518C">
        <w:rPr>
          <w:b/>
          <w:sz w:val="36"/>
          <w:szCs w:val="36"/>
        </w:rPr>
        <w:t>4</w:t>
      </w:r>
      <w:r w:rsidRPr="00DE5409">
        <w:rPr>
          <w:b/>
          <w:sz w:val="36"/>
          <w:szCs w:val="36"/>
        </w:rPr>
        <w:t>.-202</w:t>
      </w:r>
      <w:r w:rsidR="00FF518C">
        <w:rPr>
          <w:b/>
          <w:sz w:val="36"/>
          <w:szCs w:val="36"/>
        </w:rPr>
        <w:t>6</w:t>
      </w:r>
      <w:r w:rsidRPr="00DE5409">
        <w:rPr>
          <w:b/>
          <w:sz w:val="36"/>
          <w:szCs w:val="36"/>
        </w:rPr>
        <w:t>.</w:t>
      </w:r>
    </w:p>
    <w:p w14:paraId="5DCA06BA" w14:textId="77777777" w:rsidR="00B22582" w:rsidRDefault="00B22582" w:rsidP="00DE5409">
      <w:pPr>
        <w:jc w:val="center"/>
        <w:rPr>
          <w:b/>
          <w:sz w:val="36"/>
          <w:szCs w:val="36"/>
        </w:rPr>
      </w:pPr>
    </w:p>
    <w:p w14:paraId="471BF541" w14:textId="77777777" w:rsidR="00B924BC" w:rsidRDefault="00B924BC">
      <w:pPr>
        <w:jc w:val="left"/>
      </w:pPr>
    </w:p>
    <w:p w14:paraId="169C9169" w14:textId="47EC789A" w:rsidR="00B924BC" w:rsidRDefault="00817FBD" w:rsidP="00817FBD">
      <w:pPr>
        <w:pStyle w:val="Naslov3"/>
        <w:pBdr>
          <w:top w:val="single" w:sz="4" w:space="0" w:color="auto"/>
        </w:pBdr>
      </w:pPr>
      <w:r>
        <w:t>10940 Državno odvjetništvo Republike Hrvatske</w:t>
      </w:r>
    </w:p>
    <w:tbl>
      <w:tblPr>
        <w:tblStyle w:val="StilTablice"/>
        <w:tblW w:w="10207" w:type="dxa"/>
        <w:jc w:val="center"/>
        <w:tblLayout w:type="fixed"/>
        <w:tblLook w:val="04A0" w:firstRow="1" w:lastRow="0" w:firstColumn="1" w:lastColumn="0" w:noHBand="0" w:noVBand="1"/>
      </w:tblPr>
      <w:tblGrid>
        <w:gridCol w:w="1418"/>
        <w:gridCol w:w="1696"/>
        <w:gridCol w:w="1701"/>
        <w:gridCol w:w="1417"/>
        <w:gridCol w:w="1418"/>
        <w:gridCol w:w="1701"/>
        <w:gridCol w:w="856"/>
      </w:tblGrid>
      <w:tr w:rsidR="00AF785D" w14:paraId="64AC7495" w14:textId="77777777" w:rsidTr="00AF785D">
        <w:trPr>
          <w:trHeight w:val="1074"/>
          <w:jc w:val="center"/>
        </w:trPr>
        <w:tc>
          <w:tcPr>
            <w:tcW w:w="1418" w:type="dxa"/>
            <w:shd w:val="clear" w:color="auto" w:fill="B5C0D8"/>
          </w:tcPr>
          <w:p w14:paraId="0F8337F9" w14:textId="77777777" w:rsidR="00AF785D" w:rsidRDefault="00AF785D">
            <w:pPr>
              <w:pStyle w:val="CellHeader"/>
              <w:jc w:val="center"/>
            </w:pPr>
          </w:p>
        </w:tc>
        <w:tc>
          <w:tcPr>
            <w:tcW w:w="1696" w:type="dxa"/>
            <w:shd w:val="clear" w:color="auto" w:fill="B5C0D8"/>
          </w:tcPr>
          <w:p w14:paraId="3807023B" w14:textId="7DBDC84D" w:rsidR="00AF785D" w:rsidRDefault="00D54855" w:rsidP="00AF785D">
            <w:pPr>
              <w:pStyle w:val="CellHeader"/>
              <w:jc w:val="center"/>
            </w:pPr>
            <w:r>
              <w:rPr>
                <w:rFonts w:cs="Times New Roman"/>
              </w:rPr>
              <w:t>Izvršenje 2022</w:t>
            </w:r>
            <w:r w:rsidR="00AF785D">
              <w:rPr>
                <w:rFonts w:cs="Times New Roman"/>
              </w:rPr>
              <w:t>.</w:t>
            </w:r>
          </w:p>
        </w:tc>
        <w:tc>
          <w:tcPr>
            <w:tcW w:w="1701" w:type="dxa"/>
            <w:shd w:val="clear" w:color="auto" w:fill="B5C0D8"/>
          </w:tcPr>
          <w:p w14:paraId="10DB1BBE" w14:textId="60809D6B" w:rsidR="00AF785D" w:rsidRDefault="00D54855" w:rsidP="00AF785D">
            <w:pPr>
              <w:pStyle w:val="CellHeader"/>
              <w:jc w:val="center"/>
              <w:rPr>
                <w:rFonts w:cs="Times New Roman"/>
              </w:rPr>
            </w:pPr>
            <w:r>
              <w:rPr>
                <w:rFonts w:cs="Times New Roman"/>
              </w:rPr>
              <w:t>Plan 2023</w:t>
            </w:r>
          </w:p>
          <w:p w14:paraId="7FED62CD" w14:textId="74F0B538" w:rsidR="00AF785D" w:rsidRDefault="00AF785D" w:rsidP="00AF785D">
            <w:pPr>
              <w:pStyle w:val="CellHeader"/>
              <w:jc w:val="center"/>
            </w:pPr>
            <w:r>
              <w:rPr>
                <w:rFonts w:cs="Times New Roman"/>
              </w:rPr>
              <w:t>EUR</w:t>
            </w:r>
          </w:p>
        </w:tc>
        <w:tc>
          <w:tcPr>
            <w:tcW w:w="1417" w:type="dxa"/>
            <w:shd w:val="clear" w:color="auto" w:fill="B5C0D8"/>
          </w:tcPr>
          <w:p w14:paraId="596856A5" w14:textId="2A32C7AE" w:rsidR="00AF785D" w:rsidRDefault="00AF785D" w:rsidP="00AF785D">
            <w:pPr>
              <w:pStyle w:val="CellHeader"/>
              <w:jc w:val="center"/>
              <w:rPr>
                <w:rFonts w:cs="Times New Roman"/>
              </w:rPr>
            </w:pPr>
            <w:r>
              <w:rPr>
                <w:rFonts w:cs="Times New Roman"/>
              </w:rPr>
              <w:t xml:space="preserve">Plan </w:t>
            </w:r>
            <w:r w:rsidR="00D54855">
              <w:rPr>
                <w:rFonts w:cs="Times New Roman"/>
              </w:rPr>
              <w:t>2024</w:t>
            </w:r>
            <w:r>
              <w:rPr>
                <w:rFonts w:cs="Times New Roman"/>
              </w:rPr>
              <w:t>.</w:t>
            </w:r>
          </w:p>
          <w:p w14:paraId="40FA5E85" w14:textId="2B6538B5" w:rsidR="00AF785D" w:rsidRDefault="00AF785D" w:rsidP="00AF785D">
            <w:pPr>
              <w:pStyle w:val="CellHeader"/>
              <w:jc w:val="center"/>
              <w:rPr>
                <w:rFonts w:cs="Times New Roman"/>
              </w:rPr>
            </w:pPr>
            <w:r>
              <w:rPr>
                <w:rFonts w:cs="Times New Roman"/>
              </w:rPr>
              <w:t>EUR</w:t>
            </w:r>
          </w:p>
          <w:p w14:paraId="2797E2EF" w14:textId="77777777" w:rsidR="00AF785D" w:rsidRDefault="00AF785D" w:rsidP="00AF785D">
            <w:pPr>
              <w:pStyle w:val="CellHeader"/>
              <w:jc w:val="center"/>
              <w:rPr>
                <w:rFonts w:cs="Times New Roman"/>
              </w:rPr>
            </w:pPr>
          </w:p>
        </w:tc>
        <w:tc>
          <w:tcPr>
            <w:tcW w:w="1418" w:type="dxa"/>
            <w:shd w:val="clear" w:color="auto" w:fill="B5C0D8"/>
          </w:tcPr>
          <w:p w14:paraId="23E6A53F" w14:textId="2CF0399C" w:rsidR="00AF785D" w:rsidRDefault="00D54855" w:rsidP="00AF785D">
            <w:pPr>
              <w:pStyle w:val="CellHeader"/>
              <w:jc w:val="center"/>
              <w:rPr>
                <w:rFonts w:cs="Times New Roman"/>
              </w:rPr>
            </w:pPr>
            <w:r>
              <w:rPr>
                <w:rFonts w:cs="Times New Roman"/>
              </w:rPr>
              <w:t>Plan 2025</w:t>
            </w:r>
            <w:r w:rsidR="00AF785D">
              <w:rPr>
                <w:rFonts w:cs="Times New Roman"/>
              </w:rPr>
              <w:t>.</w:t>
            </w:r>
          </w:p>
          <w:p w14:paraId="474BE6F4" w14:textId="0AB17466" w:rsidR="00AF785D" w:rsidRDefault="00AF785D" w:rsidP="00AF785D">
            <w:pPr>
              <w:pStyle w:val="CellHeader"/>
              <w:jc w:val="center"/>
              <w:rPr>
                <w:rFonts w:cs="Times New Roman"/>
              </w:rPr>
            </w:pPr>
            <w:r>
              <w:rPr>
                <w:rFonts w:cs="Times New Roman"/>
              </w:rPr>
              <w:t>EUR</w:t>
            </w:r>
          </w:p>
          <w:p w14:paraId="54941587" w14:textId="77777777" w:rsidR="00AF785D" w:rsidRDefault="00AF785D" w:rsidP="00AF785D">
            <w:pPr>
              <w:pStyle w:val="CellHeader"/>
              <w:jc w:val="center"/>
              <w:rPr>
                <w:rFonts w:cs="Times New Roman"/>
              </w:rPr>
            </w:pPr>
          </w:p>
        </w:tc>
        <w:tc>
          <w:tcPr>
            <w:tcW w:w="1701" w:type="dxa"/>
            <w:shd w:val="clear" w:color="auto" w:fill="B5C0D8"/>
          </w:tcPr>
          <w:p w14:paraId="617289E6" w14:textId="334203C7" w:rsidR="00AF785D" w:rsidRDefault="00D54855" w:rsidP="00AF785D">
            <w:pPr>
              <w:pStyle w:val="CellHeader"/>
              <w:jc w:val="center"/>
              <w:rPr>
                <w:rFonts w:cs="Times New Roman"/>
              </w:rPr>
            </w:pPr>
            <w:r>
              <w:rPr>
                <w:rFonts w:cs="Times New Roman"/>
              </w:rPr>
              <w:t>Plan 2026</w:t>
            </w:r>
            <w:r w:rsidR="00AF785D">
              <w:rPr>
                <w:rFonts w:cs="Times New Roman"/>
              </w:rPr>
              <w:t>.</w:t>
            </w:r>
          </w:p>
          <w:p w14:paraId="0036F5BB" w14:textId="2545E6A6" w:rsidR="00AF785D" w:rsidRDefault="00AF785D" w:rsidP="00AF785D">
            <w:pPr>
              <w:pStyle w:val="CellHeader"/>
              <w:jc w:val="center"/>
              <w:rPr>
                <w:rFonts w:cs="Times New Roman"/>
              </w:rPr>
            </w:pPr>
            <w:r>
              <w:rPr>
                <w:rFonts w:cs="Times New Roman"/>
              </w:rPr>
              <w:t>EUR</w:t>
            </w:r>
          </w:p>
          <w:p w14:paraId="73AA4896" w14:textId="77777777" w:rsidR="00AF785D" w:rsidRDefault="00AF785D" w:rsidP="00AF785D">
            <w:pPr>
              <w:pStyle w:val="CellHeader"/>
              <w:jc w:val="center"/>
              <w:rPr>
                <w:rFonts w:cs="Times New Roman"/>
              </w:rPr>
            </w:pPr>
          </w:p>
        </w:tc>
        <w:tc>
          <w:tcPr>
            <w:tcW w:w="856" w:type="dxa"/>
            <w:shd w:val="clear" w:color="auto" w:fill="B5C0D8"/>
          </w:tcPr>
          <w:p w14:paraId="3459660B" w14:textId="246BFB47" w:rsidR="00AF785D" w:rsidRDefault="00D54855" w:rsidP="00AF785D">
            <w:pPr>
              <w:pStyle w:val="CellHeader"/>
              <w:jc w:val="center"/>
            </w:pPr>
            <w:r>
              <w:rPr>
                <w:rFonts w:cs="Times New Roman"/>
              </w:rPr>
              <w:t>Indeks 2024/2023</w:t>
            </w:r>
          </w:p>
        </w:tc>
      </w:tr>
      <w:tr w:rsidR="00AF785D" w14:paraId="7D580623" w14:textId="77777777" w:rsidTr="00AF785D">
        <w:trPr>
          <w:jc w:val="center"/>
        </w:trPr>
        <w:tc>
          <w:tcPr>
            <w:tcW w:w="1418" w:type="dxa"/>
          </w:tcPr>
          <w:p w14:paraId="470167FF" w14:textId="055EE9DC" w:rsidR="00AF785D" w:rsidRDefault="00CC568C">
            <w:pPr>
              <w:pStyle w:val="CellColumn"/>
              <w:jc w:val="left"/>
            </w:pPr>
            <w:r>
              <w:t>10940</w:t>
            </w:r>
          </w:p>
        </w:tc>
        <w:tc>
          <w:tcPr>
            <w:tcW w:w="1696" w:type="dxa"/>
          </w:tcPr>
          <w:p w14:paraId="1BFF82BF" w14:textId="03795C4D" w:rsidR="00AF785D" w:rsidRDefault="00A53006" w:rsidP="00AF785D">
            <w:pPr>
              <w:jc w:val="center"/>
            </w:pPr>
            <w:r>
              <w:t>6.558.241,58</w:t>
            </w:r>
          </w:p>
        </w:tc>
        <w:tc>
          <w:tcPr>
            <w:tcW w:w="1701" w:type="dxa"/>
          </w:tcPr>
          <w:p w14:paraId="34479C73" w14:textId="01BAB422" w:rsidR="00AF785D" w:rsidRDefault="00D54855" w:rsidP="00AF785D">
            <w:pPr>
              <w:jc w:val="center"/>
            </w:pPr>
            <w:r>
              <w:t>8.664.424,00</w:t>
            </w:r>
          </w:p>
        </w:tc>
        <w:tc>
          <w:tcPr>
            <w:tcW w:w="1417" w:type="dxa"/>
          </w:tcPr>
          <w:p w14:paraId="0705CF28" w14:textId="65A9230A" w:rsidR="00AF785D" w:rsidRDefault="00726FA1" w:rsidP="00AF785D">
            <w:pPr>
              <w:jc w:val="center"/>
            </w:pPr>
            <w:r>
              <w:t>9.441.746,00</w:t>
            </w:r>
          </w:p>
        </w:tc>
        <w:tc>
          <w:tcPr>
            <w:tcW w:w="1418" w:type="dxa"/>
          </w:tcPr>
          <w:p w14:paraId="45B9D33B" w14:textId="2B5D8427" w:rsidR="00AF785D" w:rsidRDefault="00726FA1" w:rsidP="00AF785D">
            <w:pPr>
              <w:jc w:val="center"/>
            </w:pPr>
            <w:r>
              <w:t>9.503.780,00</w:t>
            </w:r>
          </w:p>
        </w:tc>
        <w:tc>
          <w:tcPr>
            <w:tcW w:w="1701" w:type="dxa"/>
          </w:tcPr>
          <w:p w14:paraId="78273942" w14:textId="2DBAF723" w:rsidR="00AF785D" w:rsidRDefault="00726FA1" w:rsidP="00AF785D">
            <w:pPr>
              <w:jc w:val="center"/>
            </w:pPr>
            <w:r>
              <w:t>9.518.438,00</w:t>
            </w:r>
          </w:p>
        </w:tc>
        <w:tc>
          <w:tcPr>
            <w:tcW w:w="856" w:type="dxa"/>
          </w:tcPr>
          <w:p w14:paraId="3D3A36E0" w14:textId="27B8D9B0" w:rsidR="00AF785D" w:rsidRDefault="00AF785D" w:rsidP="00726FA1">
            <w:pPr>
              <w:jc w:val="center"/>
            </w:pPr>
            <w:r>
              <w:t>10</w:t>
            </w:r>
            <w:r w:rsidR="00726FA1">
              <w:t>9</w:t>
            </w:r>
          </w:p>
        </w:tc>
      </w:tr>
    </w:tbl>
    <w:p w14:paraId="3E30CED5" w14:textId="77777777" w:rsidR="00247427" w:rsidRDefault="00247427">
      <w:pPr>
        <w:jc w:val="left"/>
      </w:pPr>
    </w:p>
    <w:p w14:paraId="34F079F5" w14:textId="4D85CA4F" w:rsidR="00B924BC" w:rsidRDefault="00247427">
      <w:pPr>
        <w:jc w:val="left"/>
      </w:pPr>
      <w:r w:rsidRPr="00D54855">
        <w:t>Državno odvjetništvo Republike Hrvatske zastupa Republiku Hrvatsku, poduzima pravne radnje iz svoje nadležnosti radi zaštite Ustava i zakonitosti pred Ustavnim sudom Republike Hrvatske, poduzima radnje iz svoje nadležnosti pred Vrhovnim sudom RH, Visokim upravnim sudom RH, Visokim trgovačkim sudom RH, Visokim prekršajnim sudom RH, međunarodnim, te stranim sudskim i drugim tijelima. Državno odvjetništvo Republike Hrvatske na čelu s Glavnim državnim odvjetnikom vodi nadzor nad radom cjelokupne državnoodvjetničke organizacije, a posebice skrbi o urednom i pravodobnom obavljanju poslova u državnom odvjetništvu, obavlja poslove u svezi s predstavkama i pritužbama na rad Državnog odvjetništva, skrbi o stručnom usavršavanju državnih</w:t>
      </w:r>
      <w:bookmarkStart w:id="0" w:name="_GoBack"/>
      <w:bookmarkEnd w:id="0"/>
      <w:r w:rsidRPr="00D54855">
        <w:t xml:space="preserve"> odvjetnika, zamjenika državnih odvjetnika, savjetnika, vježbenika i drugih službenika i namještenika u državnom odvjetništvu, vodi statistiku te obavlja i druge poslove propisane Zakonom i Poslovnikom državnog odvjetništva.</w:t>
      </w:r>
    </w:p>
    <w:p w14:paraId="20AF1756" w14:textId="77777777" w:rsidR="00CC568C" w:rsidRDefault="00CC568C">
      <w:pPr>
        <w:jc w:val="left"/>
      </w:pPr>
    </w:p>
    <w:p w14:paraId="01E2CFF4" w14:textId="5371FA6E" w:rsidR="00CC568C" w:rsidRDefault="00CC568C" w:rsidP="00CC568C">
      <w:pPr>
        <w:pStyle w:val="Naslov3"/>
        <w:pBdr>
          <w:top w:val="single" w:sz="4" w:space="0" w:color="auto"/>
        </w:pBdr>
      </w:pPr>
      <w:r>
        <w:t>2812 Djelovanje državnih odvjetništava</w:t>
      </w:r>
    </w:p>
    <w:tbl>
      <w:tblPr>
        <w:tblStyle w:val="StilTablice"/>
        <w:tblW w:w="10207" w:type="dxa"/>
        <w:jc w:val="center"/>
        <w:tblLayout w:type="fixed"/>
        <w:tblLook w:val="04A0" w:firstRow="1" w:lastRow="0" w:firstColumn="1" w:lastColumn="0" w:noHBand="0" w:noVBand="1"/>
      </w:tblPr>
      <w:tblGrid>
        <w:gridCol w:w="1418"/>
        <w:gridCol w:w="1696"/>
        <w:gridCol w:w="1701"/>
        <w:gridCol w:w="1417"/>
        <w:gridCol w:w="1418"/>
        <w:gridCol w:w="1701"/>
        <w:gridCol w:w="856"/>
      </w:tblGrid>
      <w:tr w:rsidR="00CC568C" w14:paraId="79773929" w14:textId="77777777" w:rsidTr="00612FC3">
        <w:trPr>
          <w:trHeight w:val="1074"/>
          <w:jc w:val="center"/>
        </w:trPr>
        <w:tc>
          <w:tcPr>
            <w:tcW w:w="1418" w:type="dxa"/>
            <w:shd w:val="clear" w:color="auto" w:fill="B5C0D8"/>
          </w:tcPr>
          <w:p w14:paraId="6B7131A1" w14:textId="77777777" w:rsidR="00CC568C" w:rsidRDefault="00CC568C" w:rsidP="00612FC3">
            <w:pPr>
              <w:pStyle w:val="CellHeader"/>
              <w:jc w:val="center"/>
            </w:pPr>
          </w:p>
        </w:tc>
        <w:tc>
          <w:tcPr>
            <w:tcW w:w="1696" w:type="dxa"/>
            <w:shd w:val="clear" w:color="auto" w:fill="B5C0D8"/>
          </w:tcPr>
          <w:p w14:paraId="7089EF56" w14:textId="42F2A4FE" w:rsidR="00CC568C" w:rsidRDefault="002D5A89" w:rsidP="00612FC3">
            <w:pPr>
              <w:pStyle w:val="CellHeader"/>
              <w:jc w:val="center"/>
            </w:pPr>
            <w:r>
              <w:rPr>
                <w:rFonts w:cs="Times New Roman"/>
              </w:rPr>
              <w:t>Izvršenje 2022</w:t>
            </w:r>
            <w:r w:rsidR="00CC568C">
              <w:rPr>
                <w:rFonts w:cs="Times New Roman"/>
              </w:rPr>
              <w:t>.</w:t>
            </w:r>
          </w:p>
        </w:tc>
        <w:tc>
          <w:tcPr>
            <w:tcW w:w="1701" w:type="dxa"/>
            <w:shd w:val="clear" w:color="auto" w:fill="B5C0D8"/>
          </w:tcPr>
          <w:p w14:paraId="76AFAE33" w14:textId="4905A71D" w:rsidR="00CC568C" w:rsidRDefault="00D54855" w:rsidP="00612FC3">
            <w:pPr>
              <w:pStyle w:val="CellHeader"/>
              <w:jc w:val="center"/>
              <w:rPr>
                <w:rFonts w:cs="Times New Roman"/>
              </w:rPr>
            </w:pPr>
            <w:r>
              <w:rPr>
                <w:rFonts w:cs="Times New Roman"/>
              </w:rPr>
              <w:t>Plan 2023</w:t>
            </w:r>
          </w:p>
          <w:p w14:paraId="4CBAD363" w14:textId="77777777" w:rsidR="00CC568C" w:rsidRDefault="00CC568C" w:rsidP="00612FC3">
            <w:pPr>
              <w:pStyle w:val="CellHeader"/>
              <w:jc w:val="center"/>
            </w:pPr>
            <w:r>
              <w:rPr>
                <w:rFonts w:cs="Times New Roman"/>
              </w:rPr>
              <w:t>EUR</w:t>
            </w:r>
          </w:p>
        </w:tc>
        <w:tc>
          <w:tcPr>
            <w:tcW w:w="1417" w:type="dxa"/>
            <w:shd w:val="clear" w:color="auto" w:fill="B5C0D8"/>
          </w:tcPr>
          <w:p w14:paraId="364C565B" w14:textId="3647DF17" w:rsidR="00CC568C" w:rsidRDefault="00D54855" w:rsidP="00612FC3">
            <w:pPr>
              <w:pStyle w:val="CellHeader"/>
              <w:jc w:val="center"/>
              <w:rPr>
                <w:rFonts w:cs="Times New Roman"/>
              </w:rPr>
            </w:pPr>
            <w:r>
              <w:rPr>
                <w:rFonts w:cs="Times New Roman"/>
              </w:rPr>
              <w:t>Plan 2024</w:t>
            </w:r>
            <w:r w:rsidR="00CC568C">
              <w:rPr>
                <w:rFonts w:cs="Times New Roman"/>
              </w:rPr>
              <w:t>.</w:t>
            </w:r>
          </w:p>
          <w:p w14:paraId="2999AF49" w14:textId="77777777" w:rsidR="00CC568C" w:rsidRDefault="00CC568C" w:rsidP="00612FC3">
            <w:pPr>
              <w:pStyle w:val="CellHeader"/>
              <w:jc w:val="center"/>
              <w:rPr>
                <w:rFonts w:cs="Times New Roman"/>
              </w:rPr>
            </w:pPr>
            <w:r>
              <w:rPr>
                <w:rFonts w:cs="Times New Roman"/>
              </w:rPr>
              <w:t>EUR</w:t>
            </w:r>
          </w:p>
          <w:p w14:paraId="07E64F47" w14:textId="77777777" w:rsidR="00CC568C" w:rsidRDefault="00CC568C" w:rsidP="00612FC3">
            <w:pPr>
              <w:pStyle w:val="CellHeader"/>
              <w:jc w:val="center"/>
              <w:rPr>
                <w:rFonts w:cs="Times New Roman"/>
              </w:rPr>
            </w:pPr>
          </w:p>
        </w:tc>
        <w:tc>
          <w:tcPr>
            <w:tcW w:w="1418" w:type="dxa"/>
            <w:shd w:val="clear" w:color="auto" w:fill="B5C0D8"/>
          </w:tcPr>
          <w:p w14:paraId="297BFC69" w14:textId="76D2A93E" w:rsidR="00CC568C" w:rsidRDefault="00D54855" w:rsidP="00612FC3">
            <w:pPr>
              <w:pStyle w:val="CellHeader"/>
              <w:jc w:val="center"/>
              <w:rPr>
                <w:rFonts w:cs="Times New Roman"/>
              </w:rPr>
            </w:pPr>
            <w:r>
              <w:rPr>
                <w:rFonts w:cs="Times New Roman"/>
              </w:rPr>
              <w:t>Plan 2025</w:t>
            </w:r>
            <w:r w:rsidR="00CC568C">
              <w:rPr>
                <w:rFonts w:cs="Times New Roman"/>
              </w:rPr>
              <w:t>.</w:t>
            </w:r>
          </w:p>
          <w:p w14:paraId="148F02AB" w14:textId="77777777" w:rsidR="00CC568C" w:rsidRDefault="00CC568C" w:rsidP="00612FC3">
            <w:pPr>
              <w:pStyle w:val="CellHeader"/>
              <w:jc w:val="center"/>
              <w:rPr>
                <w:rFonts w:cs="Times New Roman"/>
              </w:rPr>
            </w:pPr>
            <w:r>
              <w:rPr>
                <w:rFonts w:cs="Times New Roman"/>
              </w:rPr>
              <w:t>EUR</w:t>
            </w:r>
          </w:p>
          <w:p w14:paraId="4D660847" w14:textId="77777777" w:rsidR="00CC568C" w:rsidRDefault="00CC568C" w:rsidP="00612FC3">
            <w:pPr>
              <w:pStyle w:val="CellHeader"/>
              <w:jc w:val="center"/>
              <w:rPr>
                <w:rFonts w:cs="Times New Roman"/>
              </w:rPr>
            </w:pPr>
          </w:p>
        </w:tc>
        <w:tc>
          <w:tcPr>
            <w:tcW w:w="1701" w:type="dxa"/>
            <w:shd w:val="clear" w:color="auto" w:fill="B5C0D8"/>
          </w:tcPr>
          <w:p w14:paraId="5E58616F" w14:textId="3DDD6F5F" w:rsidR="00CC568C" w:rsidRDefault="00CC568C" w:rsidP="00612FC3">
            <w:pPr>
              <w:pStyle w:val="CellHeader"/>
              <w:jc w:val="center"/>
              <w:rPr>
                <w:rFonts w:cs="Times New Roman"/>
              </w:rPr>
            </w:pPr>
            <w:r>
              <w:rPr>
                <w:rFonts w:cs="Times New Roman"/>
              </w:rPr>
              <w:t>Plan 202</w:t>
            </w:r>
            <w:r w:rsidR="00D54855">
              <w:rPr>
                <w:rFonts w:cs="Times New Roman"/>
              </w:rPr>
              <w:t>6</w:t>
            </w:r>
            <w:r>
              <w:rPr>
                <w:rFonts w:cs="Times New Roman"/>
              </w:rPr>
              <w:t>.</w:t>
            </w:r>
          </w:p>
          <w:p w14:paraId="7F9ED0C3" w14:textId="77777777" w:rsidR="00CC568C" w:rsidRDefault="00CC568C" w:rsidP="00612FC3">
            <w:pPr>
              <w:pStyle w:val="CellHeader"/>
              <w:jc w:val="center"/>
              <w:rPr>
                <w:rFonts w:cs="Times New Roman"/>
              </w:rPr>
            </w:pPr>
            <w:r>
              <w:rPr>
                <w:rFonts w:cs="Times New Roman"/>
              </w:rPr>
              <w:t>EUR</w:t>
            </w:r>
          </w:p>
          <w:p w14:paraId="0ABBC932" w14:textId="77777777" w:rsidR="00CC568C" w:rsidRDefault="00CC568C" w:rsidP="00612FC3">
            <w:pPr>
              <w:pStyle w:val="CellHeader"/>
              <w:jc w:val="center"/>
              <w:rPr>
                <w:rFonts w:cs="Times New Roman"/>
              </w:rPr>
            </w:pPr>
          </w:p>
        </w:tc>
        <w:tc>
          <w:tcPr>
            <w:tcW w:w="856" w:type="dxa"/>
            <w:shd w:val="clear" w:color="auto" w:fill="B5C0D8"/>
          </w:tcPr>
          <w:p w14:paraId="61223C7C" w14:textId="19C65012" w:rsidR="00CC568C" w:rsidRDefault="00CC568C" w:rsidP="00D54855">
            <w:pPr>
              <w:pStyle w:val="CellHeader"/>
              <w:jc w:val="center"/>
            </w:pPr>
            <w:r>
              <w:rPr>
                <w:rFonts w:cs="Times New Roman"/>
              </w:rPr>
              <w:t>Indeks 202</w:t>
            </w:r>
            <w:r w:rsidR="00D54855">
              <w:rPr>
                <w:rFonts w:cs="Times New Roman"/>
              </w:rPr>
              <w:t>4/2023</w:t>
            </w:r>
          </w:p>
        </w:tc>
      </w:tr>
      <w:tr w:rsidR="00CC568C" w14:paraId="74C3B2E5" w14:textId="77777777" w:rsidTr="00612FC3">
        <w:trPr>
          <w:jc w:val="center"/>
        </w:trPr>
        <w:tc>
          <w:tcPr>
            <w:tcW w:w="1418" w:type="dxa"/>
          </w:tcPr>
          <w:p w14:paraId="6DD8CB1C" w14:textId="5EFACB15" w:rsidR="00CC568C" w:rsidRDefault="00CC568C" w:rsidP="00612FC3">
            <w:pPr>
              <w:pStyle w:val="CellColumn"/>
              <w:jc w:val="left"/>
            </w:pPr>
            <w:r>
              <w:t>2812</w:t>
            </w:r>
          </w:p>
        </w:tc>
        <w:tc>
          <w:tcPr>
            <w:tcW w:w="1696" w:type="dxa"/>
          </w:tcPr>
          <w:p w14:paraId="30F4DCB2" w14:textId="6286F430" w:rsidR="00CC568C" w:rsidRDefault="00A53006" w:rsidP="00612FC3">
            <w:pPr>
              <w:jc w:val="center"/>
            </w:pPr>
            <w:r>
              <w:t>6.558.241,58</w:t>
            </w:r>
          </w:p>
        </w:tc>
        <w:tc>
          <w:tcPr>
            <w:tcW w:w="1701" w:type="dxa"/>
          </w:tcPr>
          <w:p w14:paraId="3CC36551" w14:textId="7B02A769" w:rsidR="00CC568C" w:rsidRDefault="00D54855" w:rsidP="00612FC3">
            <w:pPr>
              <w:jc w:val="center"/>
            </w:pPr>
            <w:r>
              <w:t>8.664.424,00</w:t>
            </w:r>
          </w:p>
        </w:tc>
        <w:tc>
          <w:tcPr>
            <w:tcW w:w="1417" w:type="dxa"/>
          </w:tcPr>
          <w:p w14:paraId="2F12A74C" w14:textId="4783DA21" w:rsidR="00CC568C" w:rsidRDefault="00726FA1" w:rsidP="00612FC3">
            <w:pPr>
              <w:jc w:val="center"/>
            </w:pPr>
            <w:r>
              <w:t>9.441.746,00</w:t>
            </w:r>
          </w:p>
        </w:tc>
        <w:tc>
          <w:tcPr>
            <w:tcW w:w="1418" w:type="dxa"/>
          </w:tcPr>
          <w:p w14:paraId="79A8E466" w14:textId="0161048A" w:rsidR="00CC568C" w:rsidRDefault="00726FA1" w:rsidP="00612FC3">
            <w:pPr>
              <w:jc w:val="center"/>
            </w:pPr>
            <w:r>
              <w:t>9.503.780,00</w:t>
            </w:r>
          </w:p>
        </w:tc>
        <w:tc>
          <w:tcPr>
            <w:tcW w:w="1701" w:type="dxa"/>
          </w:tcPr>
          <w:p w14:paraId="5F4F1C6E" w14:textId="41829A3E" w:rsidR="00CC568C" w:rsidRDefault="00726FA1" w:rsidP="00612FC3">
            <w:pPr>
              <w:jc w:val="center"/>
            </w:pPr>
            <w:r>
              <w:t>9.518.438,00</w:t>
            </w:r>
          </w:p>
        </w:tc>
        <w:tc>
          <w:tcPr>
            <w:tcW w:w="856" w:type="dxa"/>
          </w:tcPr>
          <w:p w14:paraId="7902A011" w14:textId="2FE3753A" w:rsidR="00CC568C" w:rsidRDefault="00726FA1" w:rsidP="00612FC3">
            <w:pPr>
              <w:jc w:val="center"/>
            </w:pPr>
            <w:r>
              <w:t>109</w:t>
            </w:r>
          </w:p>
        </w:tc>
      </w:tr>
    </w:tbl>
    <w:p w14:paraId="71182645" w14:textId="46812844" w:rsidR="00CC568C" w:rsidRDefault="00CC568C">
      <w:pPr>
        <w:jc w:val="left"/>
      </w:pPr>
    </w:p>
    <w:p w14:paraId="63F294A3" w14:textId="77777777" w:rsidR="00CC568C" w:rsidRDefault="00CC568C">
      <w:pPr>
        <w:jc w:val="left"/>
      </w:pPr>
    </w:p>
    <w:p w14:paraId="4A690F21" w14:textId="28BA1A72" w:rsidR="00B924BC" w:rsidRPr="00247427" w:rsidRDefault="00247427">
      <w:pPr>
        <w:jc w:val="left"/>
        <w:rPr>
          <w:b/>
        </w:rPr>
      </w:pPr>
      <w:r w:rsidRPr="00247427">
        <w:rPr>
          <w:b/>
        </w:rPr>
        <w:t>Cilj 1. Jačanje učinkovitosti pravosuđa</w:t>
      </w:r>
    </w:p>
    <w:p w14:paraId="3B763324" w14:textId="13062BFD" w:rsidR="00B924BC" w:rsidRDefault="003142ED">
      <w:pPr>
        <w:pStyle w:val="Naslov4"/>
      </w:pPr>
      <w:r>
        <w:t>A629262 SURADNJA REPUBLIKE HRVATSKE I EUROJUST-A</w:t>
      </w:r>
    </w:p>
    <w:p w14:paraId="59A1A836" w14:textId="3ABE20EB" w:rsidR="00B924BC" w:rsidRPr="000C5204" w:rsidRDefault="00B924BC">
      <w:pPr>
        <w:rPr>
          <w:sz w:val="24"/>
          <w:szCs w:val="24"/>
        </w:rPr>
      </w:pPr>
    </w:p>
    <w:tbl>
      <w:tblPr>
        <w:tblStyle w:val="StilTablice"/>
        <w:tblW w:w="10343" w:type="dxa"/>
        <w:jc w:val="center"/>
        <w:tblLook w:val="04A0" w:firstRow="1" w:lastRow="0" w:firstColumn="1" w:lastColumn="0" w:noHBand="0" w:noVBand="1"/>
      </w:tblPr>
      <w:tblGrid>
        <w:gridCol w:w="1413"/>
        <w:gridCol w:w="1701"/>
        <w:gridCol w:w="1701"/>
        <w:gridCol w:w="1417"/>
        <w:gridCol w:w="1418"/>
        <w:gridCol w:w="1701"/>
        <w:gridCol w:w="992"/>
      </w:tblGrid>
      <w:tr w:rsidR="00AF6274" w14:paraId="637EAD29" w14:textId="77777777" w:rsidTr="005F1F27">
        <w:trPr>
          <w:jc w:val="center"/>
        </w:trPr>
        <w:tc>
          <w:tcPr>
            <w:tcW w:w="1413" w:type="dxa"/>
            <w:shd w:val="clear" w:color="auto" w:fill="B5C0D8"/>
          </w:tcPr>
          <w:p w14:paraId="29BF09DE" w14:textId="77777777" w:rsidR="00AF6274" w:rsidRDefault="00AF6274" w:rsidP="00AD6B5D">
            <w:pPr>
              <w:pStyle w:val="CellHeader"/>
              <w:jc w:val="center"/>
            </w:pPr>
            <w:r>
              <w:rPr>
                <w:rFonts w:cs="Times New Roman"/>
              </w:rPr>
              <w:t>Naziv aktivnosti</w:t>
            </w:r>
          </w:p>
        </w:tc>
        <w:tc>
          <w:tcPr>
            <w:tcW w:w="1701" w:type="dxa"/>
            <w:shd w:val="clear" w:color="auto" w:fill="B5C0D8"/>
          </w:tcPr>
          <w:p w14:paraId="20EA52DB" w14:textId="6FEBC819" w:rsidR="00AF6274" w:rsidRDefault="00AF6274" w:rsidP="002D5A89">
            <w:pPr>
              <w:pStyle w:val="CellHeader"/>
              <w:jc w:val="center"/>
            </w:pPr>
            <w:r>
              <w:rPr>
                <w:rFonts w:cs="Times New Roman"/>
              </w:rPr>
              <w:t>Izvršenje 202</w:t>
            </w:r>
            <w:r w:rsidR="002D5A89">
              <w:rPr>
                <w:rFonts w:cs="Times New Roman"/>
              </w:rPr>
              <w:t>2</w:t>
            </w:r>
            <w:r>
              <w:rPr>
                <w:rFonts w:cs="Times New Roman"/>
              </w:rPr>
              <w:t>.</w:t>
            </w:r>
          </w:p>
        </w:tc>
        <w:tc>
          <w:tcPr>
            <w:tcW w:w="1701" w:type="dxa"/>
            <w:shd w:val="clear" w:color="auto" w:fill="B5C0D8"/>
          </w:tcPr>
          <w:p w14:paraId="587960CB" w14:textId="2DA9DD35" w:rsidR="00AF6274" w:rsidRDefault="00D54855" w:rsidP="00AD6B5D">
            <w:pPr>
              <w:pStyle w:val="CellHeader"/>
              <w:jc w:val="center"/>
            </w:pPr>
            <w:r>
              <w:rPr>
                <w:rFonts w:cs="Times New Roman"/>
              </w:rPr>
              <w:t>Plan 2023</w:t>
            </w:r>
            <w:r w:rsidR="00AF6274">
              <w:rPr>
                <w:rFonts w:cs="Times New Roman"/>
              </w:rPr>
              <w:t>.</w:t>
            </w:r>
          </w:p>
        </w:tc>
        <w:tc>
          <w:tcPr>
            <w:tcW w:w="1417" w:type="dxa"/>
            <w:shd w:val="clear" w:color="auto" w:fill="B5C0D8"/>
          </w:tcPr>
          <w:p w14:paraId="7D630C09" w14:textId="36B40C62" w:rsidR="00AF6274" w:rsidRDefault="00D54855" w:rsidP="00AD6B5D">
            <w:pPr>
              <w:pStyle w:val="CellHeader"/>
              <w:rPr>
                <w:rFonts w:cs="Times New Roman"/>
              </w:rPr>
            </w:pPr>
            <w:r>
              <w:rPr>
                <w:rFonts w:cs="Times New Roman"/>
              </w:rPr>
              <w:t>Plan 2024</w:t>
            </w:r>
            <w:r w:rsidR="00AF6274">
              <w:rPr>
                <w:rFonts w:cs="Times New Roman"/>
              </w:rPr>
              <w:t>.</w:t>
            </w:r>
          </w:p>
          <w:p w14:paraId="5BD1A031" w14:textId="77777777" w:rsidR="00AF6274" w:rsidRDefault="00AF6274" w:rsidP="00AD6B5D">
            <w:pPr>
              <w:pStyle w:val="CellHeader"/>
              <w:rPr>
                <w:rFonts w:cs="Times New Roman"/>
              </w:rPr>
            </w:pPr>
            <w:r>
              <w:rPr>
                <w:rFonts w:cs="Times New Roman"/>
              </w:rPr>
              <w:t>EUR</w:t>
            </w:r>
          </w:p>
          <w:p w14:paraId="48E60C67" w14:textId="4F0B8F18" w:rsidR="00AF6274" w:rsidRDefault="00AF6274" w:rsidP="00AD6B5D">
            <w:pPr>
              <w:pStyle w:val="CellHeader"/>
              <w:jc w:val="center"/>
              <w:rPr>
                <w:rFonts w:cs="Times New Roman"/>
              </w:rPr>
            </w:pPr>
          </w:p>
        </w:tc>
        <w:tc>
          <w:tcPr>
            <w:tcW w:w="1418" w:type="dxa"/>
            <w:shd w:val="clear" w:color="auto" w:fill="B5C0D8"/>
          </w:tcPr>
          <w:p w14:paraId="68EEECF5" w14:textId="3EC03617" w:rsidR="00AF6274" w:rsidRDefault="00D54855" w:rsidP="00AD6B5D">
            <w:pPr>
              <w:pStyle w:val="CellHeader"/>
              <w:rPr>
                <w:rFonts w:cs="Times New Roman"/>
              </w:rPr>
            </w:pPr>
            <w:r>
              <w:rPr>
                <w:rFonts w:cs="Times New Roman"/>
              </w:rPr>
              <w:t>Plan 2025</w:t>
            </w:r>
            <w:r w:rsidR="00AF6274">
              <w:rPr>
                <w:rFonts w:cs="Times New Roman"/>
              </w:rPr>
              <w:t>.</w:t>
            </w:r>
          </w:p>
          <w:p w14:paraId="310555D6" w14:textId="77777777" w:rsidR="00AF6274" w:rsidRDefault="00AF6274" w:rsidP="00AD6B5D">
            <w:pPr>
              <w:pStyle w:val="CellHeader"/>
              <w:rPr>
                <w:rFonts w:cs="Times New Roman"/>
              </w:rPr>
            </w:pPr>
            <w:r>
              <w:rPr>
                <w:rFonts w:cs="Times New Roman"/>
              </w:rPr>
              <w:t>EUR</w:t>
            </w:r>
          </w:p>
          <w:p w14:paraId="3768398F" w14:textId="77777777" w:rsidR="00AF6274" w:rsidRDefault="00AF6274" w:rsidP="00AD6B5D">
            <w:pPr>
              <w:pStyle w:val="CellHeader"/>
              <w:jc w:val="center"/>
              <w:rPr>
                <w:rFonts w:cs="Times New Roman"/>
              </w:rPr>
            </w:pPr>
          </w:p>
        </w:tc>
        <w:tc>
          <w:tcPr>
            <w:tcW w:w="1701" w:type="dxa"/>
            <w:shd w:val="clear" w:color="auto" w:fill="B5C0D8"/>
          </w:tcPr>
          <w:p w14:paraId="711E1426" w14:textId="287CC26D" w:rsidR="00AF6274" w:rsidRDefault="00AF6274" w:rsidP="00AD6B5D">
            <w:pPr>
              <w:pStyle w:val="CellHeader"/>
              <w:rPr>
                <w:rFonts w:cs="Times New Roman"/>
              </w:rPr>
            </w:pPr>
            <w:r>
              <w:rPr>
                <w:rFonts w:cs="Times New Roman"/>
              </w:rPr>
              <w:t>Plan 202</w:t>
            </w:r>
            <w:r w:rsidR="00D54855">
              <w:rPr>
                <w:rFonts w:cs="Times New Roman"/>
              </w:rPr>
              <w:t>6</w:t>
            </w:r>
            <w:r>
              <w:rPr>
                <w:rFonts w:cs="Times New Roman"/>
              </w:rPr>
              <w:t>.</w:t>
            </w:r>
          </w:p>
          <w:p w14:paraId="29F7E753" w14:textId="77777777" w:rsidR="00AF6274" w:rsidRDefault="00AF6274" w:rsidP="00AD6B5D">
            <w:pPr>
              <w:pStyle w:val="CellHeader"/>
              <w:rPr>
                <w:rFonts w:cs="Times New Roman"/>
              </w:rPr>
            </w:pPr>
            <w:r>
              <w:rPr>
                <w:rFonts w:cs="Times New Roman"/>
              </w:rPr>
              <w:t>EUR</w:t>
            </w:r>
          </w:p>
          <w:p w14:paraId="405CD37A" w14:textId="77777777" w:rsidR="00AF6274" w:rsidRDefault="00AF6274" w:rsidP="00AD6B5D">
            <w:pPr>
              <w:pStyle w:val="CellHeader"/>
              <w:jc w:val="center"/>
              <w:rPr>
                <w:rFonts w:cs="Times New Roman"/>
              </w:rPr>
            </w:pPr>
          </w:p>
        </w:tc>
        <w:tc>
          <w:tcPr>
            <w:tcW w:w="992" w:type="dxa"/>
            <w:shd w:val="clear" w:color="auto" w:fill="B5C0D8"/>
          </w:tcPr>
          <w:p w14:paraId="0AB1D680" w14:textId="4852E796" w:rsidR="00AF6274" w:rsidRDefault="00AF6274" w:rsidP="00D54855">
            <w:pPr>
              <w:pStyle w:val="CellHeader"/>
              <w:jc w:val="center"/>
            </w:pPr>
            <w:r>
              <w:rPr>
                <w:rFonts w:cs="Times New Roman"/>
              </w:rPr>
              <w:t>Indeks 202</w:t>
            </w:r>
            <w:r w:rsidR="00D54855">
              <w:rPr>
                <w:rFonts w:cs="Times New Roman"/>
              </w:rPr>
              <w:t>4/2023</w:t>
            </w:r>
          </w:p>
        </w:tc>
      </w:tr>
      <w:tr w:rsidR="00AF6274" w14:paraId="7B732CF0" w14:textId="77777777" w:rsidTr="005F1F27">
        <w:trPr>
          <w:jc w:val="center"/>
        </w:trPr>
        <w:tc>
          <w:tcPr>
            <w:tcW w:w="1413" w:type="dxa"/>
            <w:vAlign w:val="top"/>
          </w:tcPr>
          <w:p w14:paraId="0DC5F4BC" w14:textId="71F59CD3" w:rsidR="00AF6274" w:rsidRDefault="00AF6274" w:rsidP="00AD6B5D">
            <w:pPr>
              <w:pStyle w:val="CellColumn"/>
              <w:jc w:val="left"/>
            </w:pPr>
            <w:r>
              <w:rPr>
                <w:rFonts w:cs="Times New Roman"/>
              </w:rPr>
              <w:t>A629262</w:t>
            </w:r>
          </w:p>
        </w:tc>
        <w:tc>
          <w:tcPr>
            <w:tcW w:w="1701" w:type="dxa"/>
            <w:vAlign w:val="top"/>
          </w:tcPr>
          <w:p w14:paraId="7E4A86EB" w14:textId="07D1900D" w:rsidR="00AF6274" w:rsidRDefault="00A53006" w:rsidP="00AD6B5D">
            <w:pPr>
              <w:jc w:val="center"/>
            </w:pPr>
            <w:r>
              <w:t>42.321,76</w:t>
            </w:r>
          </w:p>
        </w:tc>
        <w:tc>
          <w:tcPr>
            <w:tcW w:w="1701" w:type="dxa"/>
            <w:vAlign w:val="top"/>
          </w:tcPr>
          <w:p w14:paraId="0C26CF2C" w14:textId="1DFD3D32" w:rsidR="00AF6274" w:rsidRDefault="00D54855" w:rsidP="00AD6B5D">
            <w:pPr>
              <w:jc w:val="center"/>
            </w:pPr>
            <w:r>
              <w:t>67.224,00</w:t>
            </w:r>
          </w:p>
        </w:tc>
        <w:tc>
          <w:tcPr>
            <w:tcW w:w="1417" w:type="dxa"/>
          </w:tcPr>
          <w:p w14:paraId="2CC8DC82" w14:textId="7E5B43F8" w:rsidR="00AF6274" w:rsidRDefault="00D54855" w:rsidP="00AD6B5D">
            <w:pPr>
              <w:jc w:val="center"/>
            </w:pPr>
            <w:r>
              <w:t>69.900,00</w:t>
            </w:r>
          </w:p>
        </w:tc>
        <w:tc>
          <w:tcPr>
            <w:tcW w:w="1418" w:type="dxa"/>
          </w:tcPr>
          <w:p w14:paraId="06326D25" w14:textId="0951A351" w:rsidR="00AF6274" w:rsidRDefault="00D54855" w:rsidP="00AD6B5D">
            <w:pPr>
              <w:jc w:val="center"/>
            </w:pPr>
            <w:r>
              <w:t>135.100,00</w:t>
            </w:r>
          </w:p>
        </w:tc>
        <w:tc>
          <w:tcPr>
            <w:tcW w:w="1701" w:type="dxa"/>
          </w:tcPr>
          <w:p w14:paraId="0FE394EB" w14:textId="52169C4C" w:rsidR="00AF6274" w:rsidRDefault="00D54855" w:rsidP="00726FA1">
            <w:pPr>
              <w:jc w:val="center"/>
            </w:pPr>
            <w:r>
              <w:t>135.</w:t>
            </w:r>
            <w:r w:rsidR="00726FA1">
              <w:t>6</w:t>
            </w:r>
            <w:r>
              <w:t>00,00</w:t>
            </w:r>
          </w:p>
        </w:tc>
        <w:tc>
          <w:tcPr>
            <w:tcW w:w="992" w:type="dxa"/>
            <w:vAlign w:val="top"/>
          </w:tcPr>
          <w:p w14:paraId="38785575" w14:textId="7FF0E7B5" w:rsidR="00AF6274" w:rsidRDefault="00A53006" w:rsidP="00AD6B5D">
            <w:pPr>
              <w:jc w:val="center"/>
            </w:pPr>
            <w:r>
              <w:t>104</w:t>
            </w:r>
          </w:p>
        </w:tc>
      </w:tr>
    </w:tbl>
    <w:p w14:paraId="0C8FDF50" w14:textId="1B33AA18" w:rsidR="00B924BC" w:rsidRDefault="00B924BC">
      <w:pPr>
        <w:jc w:val="left"/>
      </w:pPr>
    </w:p>
    <w:p w14:paraId="28112653" w14:textId="0217C564" w:rsidR="009E250D" w:rsidRPr="009E250D" w:rsidRDefault="009E250D">
      <w:pPr>
        <w:jc w:val="left"/>
        <w:rPr>
          <w:b/>
        </w:rPr>
      </w:pPr>
      <w:r w:rsidRPr="009E250D">
        <w:rPr>
          <w:b/>
        </w:rPr>
        <w:t>IZVOR 11</w:t>
      </w:r>
    </w:p>
    <w:p w14:paraId="3BD70B65" w14:textId="08CCBEB6" w:rsidR="00B924BC" w:rsidRDefault="00247427">
      <w:pPr>
        <w:jc w:val="left"/>
        <w:rPr>
          <w:sz w:val="24"/>
          <w:szCs w:val="24"/>
        </w:rPr>
      </w:pPr>
      <w:r>
        <w:t xml:space="preserve">Ovom aktivnosti se financira rad Ureda sa sjedištem u Den Haagu i sudjelovanja u aktivnostima European Judicial Network-a. Najveći dio sredstava planiran je za podmirenje najamnina za stanovanje predstavnika Republike Hrvatske u EUROJUST-u u Haagu, usluge telefona, podmirenje godišnje komunalne naknade za stan koji koristi  predstavnik RH u EUROJUST-u, podmirenje troškova službenih putovanja spomenutog predstavnika te usluge </w:t>
      </w:r>
      <w:r>
        <w:lastRenderedPageBreak/>
        <w:t>prijevoda i nabavke uredskog materijala.</w:t>
      </w:r>
      <w:r w:rsidRPr="00247427">
        <w:rPr>
          <w:sz w:val="24"/>
          <w:szCs w:val="24"/>
        </w:rPr>
        <w:t xml:space="preserve"> </w:t>
      </w:r>
      <w:r w:rsidRPr="00205A3D">
        <w:rPr>
          <w:sz w:val="24"/>
          <w:szCs w:val="24"/>
        </w:rPr>
        <w:t>Povećanje se odnosi na češća putovanja, povećane cijene goriva pa tako i karte, po naputku EU trebat će i zamjenik</w:t>
      </w:r>
      <w:r>
        <w:rPr>
          <w:sz w:val="24"/>
          <w:szCs w:val="24"/>
        </w:rPr>
        <w:t xml:space="preserve"> pa je to stavljeno za razdoblje 2025</w:t>
      </w:r>
    </w:p>
    <w:p w14:paraId="31BD0703" w14:textId="77777777" w:rsidR="00247427" w:rsidRDefault="00247427">
      <w:pPr>
        <w:jc w:val="left"/>
      </w:pPr>
    </w:p>
    <w:p w14:paraId="43DCE9EC" w14:textId="4B006F96" w:rsidR="00B924BC" w:rsidRDefault="003142ED">
      <w:pPr>
        <w:pStyle w:val="Naslov4"/>
      </w:pPr>
      <w:r>
        <w:t>A634000 PROGON POČINITELJA KAZNENIH DJELA, ZAŠTITE IMOVINE RH I PODNOŠENJE PRAVNIH SREDSTAVA ZA ZAŠTITU ZAKONITOSTI</w:t>
      </w:r>
    </w:p>
    <w:p w14:paraId="054D17AF" w14:textId="77777777" w:rsidR="00247427" w:rsidRPr="002D5A89" w:rsidRDefault="00247427">
      <w:pPr>
        <w:rPr>
          <w:b/>
        </w:rPr>
      </w:pPr>
      <w:r w:rsidRPr="002D5A89">
        <w:rPr>
          <w:b/>
        </w:rPr>
        <w:t>Zakonske i druge pravne osnove</w:t>
      </w:r>
    </w:p>
    <w:p w14:paraId="780AC59A" w14:textId="079736D6" w:rsidR="00B924BC" w:rsidRDefault="00247427">
      <w:r w:rsidRPr="002D5A89">
        <w:t>Zakon o državnom odvjetništvu, Zakon o Uredu za suzbijanje korupcije i organiziranog kriminaliteta, Zakon o područjima i sjedištima državnih odvjetništava</w:t>
      </w:r>
      <w:r>
        <w:t>.</w:t>
      </w:r>
    </w:p>
    <w:tbl>
      <w:tblPr>
        <w:tblStyle w:val="StilTablice"/>
        <w:tblW w:w="10201" w:type="dxa"/>
        <w:jc w:val="center"/>
        <w:tblLook w:val="04A0" w:firstRow="1" w:lastRow="0" w:firstColumn="1" w:lastColumn="0" w:noHBand="0" w:noVBand="1"/>
      </w:tblPr>
      <w:tblGrid>
        <w:gridCol w:w="1369"/>
        <w:gridCol w:w="1632"/>
        <w:gridCol w:w="1814"/>
        <w:gridCol w:w="1417"/>
        <w:gridCol w:w="1418"/>
        <w:gridCol w:w="1581"/>
        <w:gridCol w:w="970"/>
      </w:tblGrid>
      <w:tr w:rsidR="005F1F27" w14:paraId="2F0D8EB3" w14:textId="77777777" w:rsidTr="005F1F27">
        <w:trPr>
          <w:jc w:val="center"/>
        </w:trPr>
        <w:tc>
          <w:tcPr>
            <w:tcW w:w="1369" w:type="dxa"/>
            <w:shd w:val="clear" w:color="auto" w:fill="B5C0D8"/>
          </w:tcPr>
          <w:p w14:paraId="504BAD04" w14:textId="77777777" w:rsidR="005F1F27" w:rsidRDefault="005F1F27" w:rsidP="003C5DBA">
            <w:pPr>
              <w:pStyle w:val="CellHeader"/>
              <w:jc w:val="center"/>
            </w:pPr>
            <w:r>
              <w:rPr>
                <w:rFonts w:cs="Times New Roman"/>
              </w:rPr>
              <w:t>Naziv aktivnosti</w:t>
            </w:r>
          </w:p>
        </w:tc>
        <w:tc>
          <w:tcPr>
            <w:tcW w:w="1632" w:type="dxa"/>
            <w:shd w:val="clear" w:color="auto" w:fill="B5C0D8"/>
          </w:tcPr>
          <w:p w14:paraId="023946E7" w14:textId="7169367C" w:rsidR="005F1F27" w:rsidRDefault="00D54855" w:rsidP="003C5DBA">
            <w:pPr>
              <w:pStyle w:val="CellHeader"/>
              <w:jc w:val="center"/>
            </w:pPr>
            <w:r>
              <w:rPr>
                <w:rFonts w:cs="Times New Roman"/>
              </w:rPr>
              <w:t>Izvršenje 2022</w:t>
            </w:r>
            <w:r w:rsidR="005F1F27">
              <w:rPr>
                <w:rFonts w:cs="Times New Roman"/>
              </w:rPr>
              <w:t>.</w:t>
            </w:r>
          </w:p>
        </w:tc>
        <w:tc>
          <w:tcPr>
            <w:tcW w:w="1814" w:type="dxa"/>
            <w:shd w:val="clear" w:color="auto" w:fill="B5C0D8"/>
          </w:tcPr>
          <w:p w14:paraId="6A61B43A" w14:textId="5D67F582" w:rsidR="005F1F27" w:rsidRDefault="00D54855" w:rsidP="003C5DBA">
            <w:pPr>
              <w:pStyle w:val="CellHeader"/>
              <w:jc w:val="center"/>
            </w:pPr>
            <w:r>
              <w:rPr>
                <w:rFonts w:cs="Times New Roman"/>
              </w:rPr>
              <w:t>Plan 2023</w:t>
            </w:r>
            <w:r w:rsidR="005F1F27">
              <w:rPr>
                <w:rFonts w:cs="Times New Roman"/>
              </w:rPr>
              <w:t>.</w:t>
            </w:r>
          </w:p>
        </w:tc>
        <w:tc>
          <w:tcPr>
            <w:tcW w:w="1417" w:type="dxa"/>
            <w:shd w:val="clear" w:color="auto" w:fill="B5C0D8"/>
          </w:tcPr>
          <w:p w14:paraId="535EE4DC" w14:textId="711FAACE" w:rsidR="005F1F27" w:rsidRDefault="00D54855" w:rsidP="003C5DBA">
            <w:pPr>
              <w:pStyle w:val="CellHeader"/>
              <w:jc w:val="center"/>
              <w:rPr>
                <w:rFonts w:cs="Times New Roman"/>
              </w:rPr>
            </w:pPr>
            <w:r>
              <w:rPr>
                <w:rFonts w:cs="Times New Roman"/>
              </w:rPr>
              <w:t>Plan 2024</w:t>
            </w:r>
            <w:r w:rsidR="005F1F27">
              <w:rPr>
                <w:rFonts w:cs="Times New Roman"/>
              </w:rPr>
              <w:t>.</w:t>
            </w:r>
          </w:p>
          <w:p w14:paraId="7A7EBDA9" w14:textId="77777777" w:rsidR="005F1F27" w:rsidRDefault="005F1F27" w:rsidP="003C5DBA">
            <w:pPr>
              <w:pStyle w:val="CellHeader"/>
              <w:jc w:val="center"/>
              <w:rPr>
                <w:rFonts w:cs="Times New Roman"/>
              </w:rPr>
            </w:pPr>
            <w:r>
              <w:rPr>
                <w:rFonts w:cs="Times New Roman"/>
              </w:rPr>
              <w:t>EUR</w:t>
            </w:r>
          </w:p>
          <w:p w14:paraId="65C3858F" w14:textId="77777777" w:rsidR="005F1F27" w:rsidRDefault="005F1F27" w:rsidP="003C5DBA">
            <w:pPr>
              <w:pStyle w:val="CellHeader"/>
              <w:jc w:val="center"/>
              <w:rPr>
                <w:rFonts w:cs="Times New Roman"/>
              </w:rPr>
            </w:pPr>
          </w:p>
        </w:tc>
        <w:tc>
          <w:tcPr>
            <w:tcW w:w="1418" w:type="dxa"/>
            <w:shd w:val="clear" w:color="auto" w:fill="B5C0D8"/>
          </w:tcPr>
          <w:p w14:paraId="2789C030" w14:textId="4517F276" w:rsidR="005F1F27" w:rsidRDefault="005F1F27" w:rsidP="003C5DBA">
            <w:pPr>
              <w:pStyle w:val="CellHeader"/>
              <w:jc w:val="center"/>
              <w:rPr>
                <w:rFonts w:cs="Times New Roman"/>
              </w:rPr>
            </w:pPr>
            <w:r>
              <w:rPr>
                <w:rFonts w:cs="Times New Roman"/>
              </w:rPr>
              <w:t xml:space="preserve">Plan </w:t>
            </w:r>
            <w:r w:rsidR="00D54855">
              <w:rPr>
                <w:rFonts w:cs="Times New Roman"/>
              </w:rPr>
              <w:t>2025</w:t>
            </w:r>
            <w:r>
              <w:rPr>
                <w:rFonts w:cs="Times New Roman"/>
              </w:rPr>
              <w:t>.</w:t>
            </w:r>
          </w:p>
          <w:p w14:paraId="6A9EADFA" w14:textId="77777777" w:rsidR="005F1F27" w:rsidRDefault="005F1F27" w:rsidP="003C5DBA">
            <w:pPr>
              <w:pStyle w:val="CellHeader"/>
              <w:jc w:val="center"/>
              <w:rPr>
                <w:rFonts w:cs="Times New Roman"/>
              </w:rPr>
            </w:pPr>
            <w:r>
              <w:rPr>
                <w:rFonts w:cs="Times New Roman"/>
              </w:rPr>
              <w:t>EUR</w:t>
            </w:r>
          </w:p>
          <w:p w14:paraId="6F631813" w14:textId="77777777" w:rsidR="005F1F27" w:rsidRDefault="005F1F27" w:rsidP="003C5DBA">
            <w:pPr>
              <w:pStyle w:val="CellHeader"/>
              <w:jc w:val="center"/>
              <w:rPr>
                <w:rFonts w:cs="Times New Roman"/>
              </w:rPr>
            </w:pPr>
          </w:p>
        </w:tc>
        <w:tc>
          <w:tcPr>
            <w:tcW w:w="1581" w:type="dxa"/>
            <w:shd w:val="clear" w:color="auto" w:fill="B5C0D8"/>
          </w:tcPr>
          <w:p w14:paraId="5D362A39" w14:textId="21D2CCE3" w:rsidR="005F1F27" w:rsidRDefault="00D54855" w:rsidP="003C5DBA">
            <w:pPr>
              <w:pStyle w:val="CellHeader"/>
              <w:jc w:val="center"/>
              <w:rPr>
                <w:rFonts w:cs="Times New Roman"/>
              </w:rPr>
            </w:pPr>
            <w:r>
              <w:rPr>
                <w:rFonts w:cs="Times New Roman"/>
              </w:rPr>
              <w:t>Plan 2026</w:t>
            </w:r>
            <w:r w:rsidR="005F1F27">
              <w:rPr>
                <w:rFonts w:cs="Times New Roman"/>
              </w:rPr>
              <w:t>.</w:t>
            </w:r>
          </w:p>
          <w:p w14:paraId="01FEAC05" w14:textId="77777777" w:rsidR="005F1F27" w:rsidRDefault="005F1F27" w:rsidP="003C5DBA">
            <w:pPr>
              <w:pStyle w:val="CellHeader"/>
              <w:jc w:val="center"/>
              <w:rPr>
                <w:rFonts w:cs="Times New Roman"/>
              </w:rPr>
            </w:pPr>
            <w:r>
              <w:rPr>
                <w:rFonts w:cs="Times New Roman"/>
              </w:rPr>
              <w:t>EUR</w:t>
            </w:r>
          </w:p>
          <w:p w14:paraId="6CEB1D86" w14:textId="77777777" w:rsidR="005F1F27" w:rsidRDefault="005F1F27" w:rsidP="003C5DBA">
            <w:pPr>
              <w:pStyle w:val="CellHeader"/>
              <w:jc w:val="center"/>
              <w:rPr>
                <w:rFonts w:cs="Times New Roman"/>
              </w:rPr>
            </w:pPr>
          </w:p>
        </w:tc>
        <w:tc>
          <w:tcPr>
            <w:tcW w:w="970" w:type="dxa"/>
            <w:shd w:val="clear" w:color="auto" w:fill="B5C0D8"/>
          </w:tcPr>
          <w:p w14:paraId="4816D59C" w14:textId="3A007540" w:rsidR="005F1F27" w:rsidRDefault="00D54855" w:rsidP="003C5DBA">
            <w:pPr>
              <w:pStyle w:val="CellHeader"/>
              <w:jc w:val="center"/>
            </w:pPr>
            <w:r>
              <w:rPr>
                <w:rFonts w:cs="Times New Roman"/>
              </w:rPr>
              <w:t>Indeks 2024/2023</w:t>
            </w:r>
          </w:p>
        </w:tc>
      </w:tr>
      <w:tr w:rsidR="005F1F27" w14:paraId="284D9A62" w14:textId="77777777" w:rsidTr="005F1F27">
        <w:trPr>
          <w:jc w:val="center"/>
        </w:trPr>
        <w:tc>
          <w:tcPr>
            <w:tcW w:w="1369" w:type="dxa"/>
            <w:vAlign w:val="top"/>
          </w:tcPr>
          <w:p w14:paraId="36283861" w14:textId="6DAABCF4" w:rsidR="005F1F27" w:rsidRDefault="005F1F27">
            <w:pPr>
              <w:pStyle w:val="CellColumn"/>
              <w:jc w:val="left"/>
            </w:pPr>
            <w:r>
              <w:rPr>
                <w:rFonts w:cs="Times New Roman"/>
              </w:rPr>
              <w:t>A634000</w:t>
            </w:r>
          </w:p>
        </w:tc>
        <w:tc>
          <w:tcPr>
            <w:tcW w:w="1632" w:type="dxa"/>
            <w:vAlign w:val="top"/>
          </w:tcPr>
          <w:p w14:paraId="4007A26D" w14:textId="34FF4213" w:rsidR="005F1F27" w:rsidRDefault="00A53006" w:rsidP="005F1F27">
            <w:pPr>
              <w:jc w:val="center"/>
            </w:pPr>
            <w:r>
              <w:t>2.720.638,89</w:t>
            </w:r>
          </w:p>
        </w:tc>
        <w:tc>
          <w:tcPr>
            <w:tcW w:w="1814" w:type="dxa"/>
            <w:vAlign w:val="top"/>
          </w:tcPr>
          <w:p w14:paraId="7FEF0A7B" w14:textId="421D90D4" w:rsidR="005F1F27" w:rsidRDefault="00D54855" w:rsidP="005F1F27">
            <w:pPr>
              <w:jc w:val="center"/>
            </w:pPr>
            <w:r>
              <w:t>3.534.740</w:t>
            </w:r>
            <w:r w:rsidR="00726FA1">
              <w:t>,00</w:t>
            </w:r>
          </w:p>
        </w:tc>
        <w:tc>
          <w:tcPr>
            <w:tcW w:w="1417" w:type="dxa"/>
          </w:tcPr>
          <w:p w14:paraId="0CE5151F" w14:textId="1C816B91" w:rsidR="005F1F27" w:rsidRDefault="00726FA1" w:rsidP="005F1F27">
            <w:pPr>
              <w:jc w:val="center"/>
            </w:pPr>
            <w:r>
              <w:t>3.775.046,00</w:t>
            </w:r>
          </w:p>
        </w:tc>
        <w:tc>
          <w:tcPr>
            <w:tcW w:w="1418" w:type="dxa"/>
          </w:tcPr>
          <w:p w14:paraId="4C586F8B" w14:textId="25EAA229" w:rsidR="005F1F27" w:rsidRDefault="00726FA1" w:rsidP="005F1F27">
            <w:pPr>
              <w:jc w:val="center"/>
            </w:pPr>
            <w:r>
              <w:t>3.782.880,00</w:t>
            </w:r>
          </w:p>
        </w:tc>
        <w:tc>
          <w:tcPr>
            <w:tcW w:w="1581" w:type="dxa"/>
          </w:tcPr>
          <w:p w14:paraId="1B393855" w14:textId="6A3DE89C" w:rsidR="005F1F27" w:rsidRDefault="00726FA1" w:rsidP="005F1F27">
            <w:pPr>
              <w:jc w:val="center"/>
            </w:pPr>
            <w:r>
              <w:t>3.790.538,00</w:t>
            </w:r>
          </w:p>
        </w:tc>
        <w:tc>
          <w:tcPr>
            <w:tcW w:w="970" w:type="dxa"/>
            <w:vAlign w:val="top"/>
          </w:tcPr>
          <w:p w14:paraId="0212DA4E" w14:textId="78E3CB94" w:rsidR="005F1F27" w:rsidRDefault="00726FA1" w:rsidP="005F1F27">
            <w:pPr>
              <w:jc w:val="center"/>
            </w:pPr>
            <w:r>
              <w:t>107</w:t>
            </w:r>
          </w:p>
        </w:tc>
      </w:tr>
    </w:tbl>
    <w:p w14:paraId="44287659" w14:textId="2A5DEE74" w:rsidR="00B924BC" w:rsidRDefault="00B924BC">
      <w:pPr>
        <w:jc w:val="left"/>
      </w:pPr>
    </w:p>
    <w:p w14:paraId="7091A95C" w14:textId="2FDC157E" w:rsidR="006747F0" w:rsidRPr="006747F0" w:rsidRDefault="006747F0">
      <w:pPr>
        <w:jc w:val="left"/>
        <w:rPr>
          <w:b/>
        </w:rPr>
      </w:pPr>
      <w:r w:rsidRPr="006747F0">
        <w:rPr>
          <w:b/>
        </w:rPr>
        <w:t>IZVOR 11</w:t>
      </w:r>
    </w:p>
    <w:p w14:paraId="091EB68F" w14:textId="2717F2E0" w:rsidR="00B924BC" w:rsidRPr="009E250D" w:rsidRDefault="006747F0">
      <w:pPr>
        <w:jc w:val="left"/>
        <w:rPr>
          <w:sz w:val="24"/>
          <w:szCs w:val="24"/>
        </w:rPr>
      </w:pPr>
      <w:r>
        <w:t xml:space="preserve"> </w:t>
      </w:r>
      <w:r w:rsidRPr="009E250D">
        <w:rPr>
          <w:sz w:val="24"/>
          <w:szCs w:val="24"/>
        </w:rPr>
        <w:t xml:space="preserve">Plaće i doprinosi : </w:t>
      </w:r>
      <w:r w:rsidR="00205A3D" w:rsidRPr="009E250D">
        <w:rPr>
          <w:sz w:val="24"/>
          <w:szCs w:val="24"/>
        </w:rPr>
        <w:t xml:space="preserve">Prijedlog proračuna za plaće, prekovremene i doprinose se </w:t>
      </w:r>
      <w:r w:rsidR="002D5A89">
        <w:rPr>
          <w:sz w:val="24"/>
          <w:szCs w:val="24"/>
        </w:rPr>
        <w:t>temelji na bazi mjeseca rujna 2023. prema uputi nadležnog Ministarstva.</w:t>
      </w:r>
    </w:p>
    <w:p w14:paraId="0D500457" w14:textId="0538EEDD" w:rsidR="00205A3D" w:rsidRPr="009E250D" w:rsidRDefault="006747F0">
      <w:pPr>
        <w:jc w:val="left"/>
        <w:rPr>
          <w:sz w:val="24"/>
          <w:szCs w:val="24"/>
        </w:rPr>
      </w:pPr>
      <w:r w:rsidRPr="009E250D">
        <w:rPr>
          <w:sz w:val="24"/>
          <w:szCs w:val="24"/>
        </w:rPr>
        <w:t xml:space="preserve">Ostale rashodi za  zaposlene: </w:t>
      </w:r>
      <w:r w:rsidR="00205A3D" w:rsidRPr="009E250D">
        <w:rPr>
          <w:sz w:val="24"/>
          <w:szCs w:val="24"/>
        </w:rPr>
        <w:t xml:space="preserve">Prijedlog proračuna odnosi se na </w:t>
      </w:r>
      <w:r w:rsidR="002D5A89">
        <w:rPr>
          <w:sz w:val="24"/>
          <w:szCs w:val="24"/>
        </w:rPr>
        <w:t>trenutno stanje zaposlenih sa trenutno važećim iznosima za božićnicu, regres prema uputi nadležnog Ministarstva.</w:t>
      </w:r>
    </w:p>
    <w:p w14:paraId="39AA4B5C" w14:textId="2EE181A9" w:rsidR="00205A3D" w:rsidRPr="009E250D" w:rsidRDefault="006747F0">
      <w:pPr>
        <w:jc w:val="left"/>
        <w:rPr>
          <w:sz w:val="24"/>
          <w:szCs w:val="24"/>
        </w:rPr>
      </w:pPr>
      <w:r w:rsidRPr="009E250D">
        <w:rPr>
          <w:sz w:val="24"/>
          <w:szCs w:val="24"/>
        </w:rPr>
        <w:t xml:space="preserve">Naknade za prijevoz: </w:t>
      </w:r>
      <w:r w:rsidR="00205A3D" w:rsidRPr="009E250D">
        <w:rPr>
          <w:sz w:val="24"/>
          <w:szCs w:val="24"/>
        </w:rPr>
        <w:t>Prijedlog je izrađen sukaldno broju zaposlenih službenika i namještenika, te za nadoknadu troškova prijevoza i odvojenog života za državne duž</w:t>
      </w:r>
      <w:r w:rsidR="002D5A89">
        <w:rPr>
          <w:sz w:val="24"/>
          <w:szCs w:val="24"/>
        </w:rPr>
        <w:t>osnike koji ostvaruju to pravo</w:t>
      </w:r>
      <w:r w:rsidR="00205A3D" w:rsidRPr="009E250D">
        <w:rPr>
          <w:sz w:val="24"/>
          <w:szCs w:val="24"/>
        </w:rPr>
        <w:t>.</w:t>
      </w:r>
    </w:p>
    <w:p w14:paraId="2E049FC8" w14:textId="28B6FE61" w:rsidR="00205A3D" w:rsidRPr="009E250D" w:rsidRDefault="006747F0">
      <w:pPr>
        <w:jc w:val="left"/>
        <w:rPr>
          <w:sz w:val="24"/>
          <w:szCs w:val="24"/>
        </w:rPr>
      </w:pPr>
      <w:r w:rsidRPr="009E250D">
        <w:rPr>
          <w:sz w:val="24"/>
          <w:szCs w:val="24"/>
        </w:rPr>
        <w:t xml:space="preserve">Materijalni rashodi: </w:t>
      </w:r>
      <w:r w:rsidR="00205A3D" w:rsidRPr="009E250D">
        <w:rPr>
          <w:sz w:val="24"/>
          <w:szCs w:val="24"/>
        </w:rPr>
        <w:t>Predloženi prijedlog se odnosi na povećanje rashoda električne energije i plina na koje rashode nismo u mogućnosti utjecati - potpisani ugovori na temelju okvirnih sporazuma, nabavka sitnog inventara i auto guma za nova službena vozila. Rashodi za zakupnine i najamnine će se povećati zbog sklapanja novih sporazuma za najam uređaja za kopiranje-iznos računa će ovisiti o broju kopiranja/ispisa stranica, te za najam informatičke opreme i najma dvorana godišnjeg savjetovanja i dva stručna skupa namjenjena državnoodvjetničkim dužnosnicima. Sklopljeni su ugovori za usl. telefona, poštanske usluge, usluge interneta-novi ugovor i ostalo.</w:t>
      </w:r>
    </w:p>
    <w:p w14:paraId="0ADDEF6F" w14:textId="26E92389" w:rsidR="00205A3D" w:rsidRPr="009E250D" w:rsidRDefault="006747F0">
      <w:pPr>
        <w:jc w:val="left"/>
        <w:rPr>
          <w:sz w:val="24"/>
          <w:szCs w:val="24"/>
        </w:rPr>
      </w:pPr>
      <w:r w:rsidRPr="009E250D">
        <w:rPr>
          <w:sz w:val="24"/>
          <w:szCs w:val="24"/>
        </w:rPr>
        <w:t xml:space="preserve">Tekuće održavanje: </w:t>
      </w:r>
      <w:r w:rsidR="00205A3D" w:rsidRPr="009E250D">
        <w:rPr>
          <w:sz w:val="24"/>
          <w:szCs w:val="24"/>
        </w:rPr>
        <w:t>Planirana sredstava predviđena su i za popravke službenih vozila, servisiranje i popravke klima uređaja, servisiranje kotlovnice, usluge soboslikarskih radova, popravke kopirki, printera i sl.</w:t>
      </w:r>
    </w:p>
    <w:p w14:paraId="1C7F3113" w14:textId="383AD14B" w:rsidR="00205A3D" w:rsidRPr="009E250D" w:rsidRDefault="006747F0">
      <w:pPr>
        <w:jc w:val="left"/>
        <w:rPr>
          <w:sz w:val="24"/>
          <w:szCs w:val="24"/>
        </w:rPr>
      </w:pPr>
      <w:r w:rsidRPr="009E250D">
        <w:rPr>
          <w:sz w:val="24"/>
          <w:szCs w:val="24"/>
        </w:rPr>
        <w:t xml:space="preserve">Nabava opreme: </w:t>
      </w:r>
      <w:r w:rsidR="00205A3D" w:rsidRPr="009E250D">
        <w:rPr>
          <w:sz w:val="24"/>
          <w:szCs w:val="24"/>
        </w:rPr>
        <w:t>Prijedlog proračuna je planiran za na</w:t>
      </w:r>
      <w:r w:rsidR="002D5A89">
        <w:rPr>
          <w:sz w:val="24"/>
          <w:szCs w:val="24"/>
        </w:rPr>
        <w:t>bavku novog uredskog namještaja</w:t>
      </w:r>
      <w:r w:rsidR="00205A3D" w:rsidRPr="009E250D">
        <w:rPr>
          <w:sz w:val="24"/>
          <w:szCs w:val="24"/>
        </w:rPr>
        <w:t xml:space="preserve"> i nabavke opreme za održavanje i zaštitu, a sve zbog dotrajalosti postojeće opreme, te za podmirenj</w:t>
      </w:r>
      <w:r w:rsidR="00697DF2">
        <w:rPr>
          <w:sz w:val="24"/>
          <w:szCs w:val="24"/>
        </w:rPr>
        <w:t>e rashoda za dva  službena vozila nabavljena putem financijskog lizinga</w:t>
      </w:r>
      <w:r w:rsidR="00205A3D" w:rsidRPr="009E250D">
        <w:rPr>
          <w:sz w:val="24"/>
          <w:szCs w:val="24"/>
        </w:rPr>
        <w:t xml:space="preserve"> i nabavku još </w:t>
      </w:r>
      <w:r w:rsidR="00697DF2">
        <w:rPr>
          <w:sz w:val="24"/>
          <w:szCs w:val="24"/>
        </w:rPr>
        <w:t>jednog</w:t>
      </w:r>
      <w:r w:rsidR="00205A3D" w:rsidRPr="009E250D">
        <w:rPr>
          <w:sz w:val="24"/>
          <w:szCs w:val="24"/>
        </w:rPr>
        <w:t xml:space="preserve"> vozila koje je u planu nabave putem financijskog leasinga. U prijedlogu se ne nalaze sredstva koja se </w:t>
      </w:r>
      <w:r w:rsidRPr="009E250D">
        <w:rPr>
          <w:sz w:val="24"/>
          <w:szCs w:val="24"/>
        </w:rPr>
        <w:t xml:space="preserve">ne </w:t>
      </w:r>
      <w:r w:rsidR="00205A3D" w:rsidRPr="009E250D">
        <w:rPr>
          <w:sz w:val="24"/>
          <w:szCs w:val="24"/>
        </w:rPr>
        <w:t>nabavljaju preko Ministarstva pravosuđa i uprave, već su to tražena sredstva za vlastitu nabavu.</w:t>
      </w:r>
    </w:p>
    <w:p w14:paraId="771C3049" w14:textId="253D8D62" w:rsidR="006747F0" w:rsidRPr="009E250D" w:rsidRDefault="006747F0">
      <w:pPr>
        <w:jc w:val="left"/>
        <w:rPr>
          <w:b/>
          <w:sz w:val="24"/>
          <w:szCs w:val="24"/>
        </w:rPr>
      </w:pPr>
      <w:r w:rsidRPr="009E250D">
        <w:rPr>
          <w:b/>
          <w:sz w:val="24"/>
          <w:szCs w:val="24"/>
        </w:rPr>
        <w:t>IZVOR 31 VLASTITI PRIHODI</w:t>
      </w:r>
    </w:p>
    <w:p w14:paraId="4565A2F8" w14:textId="2D5D7881" w:rsidR="006747F0" w:rsidRDefault="006747F0">
      <w:pPr>
        <w:jc w:val="left"/>
        <w:rPr>
          <w:sz w:val="24"/>
          <w:szCs w:val="24"/>
        </w:rPr>
      </w:pPr>
      <w:r w:rsidRPr="009E250D">
        <w:rPr>
          <w:sz w:val="24"/>
          <w:szCs w:val="24"/>
        </w:rPr>
        <w:t>Vlastiti prihodi se ostvaruju od prihoda čajne kuhinje DORH-a. Kod vlastitih prihoda se očekuje prijenos u slijedeću godinu</w:t>
      </w:r>
      <w:r w:rsidR="00EC0449" w:rsidRPr="009E250D">
        <w:rPr>
          <w:sz w:val="24"/>
          <w:szCs w:val="24"/>
        </w:rPr>
        <w:t xml:space="preserve"> . Procjena se odnosi na trenutnu situaciju.</w:t>
      </w:r>
    </w:p>
    <w:p w14:paraId="799BDBD8" w14:textId="2F5F8B31" w:rsidR="00205A3D" w:rsidRPr="009E250D" w:rsidRDefault="006747F0">
      <w:pPr>
        <w:jc w:val="left"/>
        <w:rPr>
          <w:b/>
          <w:sz w:val="24"/>
          <w:szCs w:val="24"/>
        </w:rPr>
      </w:pPr>
      <w:r w:rsidRPr="009E250D">
        <w:rPr>
          <w:b/>
          <w:sz w:val="24"/>
          <w:szCs w:val="24"/>
        </w:rPr>
        <w:t>IZVOR 61 DONACIJE</w:t>
      </w:r>
    </w:p>
    <w:p w14:paraId="12A5D691" w14:textId="2AE06376" w:rsidR="006747F0" w:rsidRPr="009E250D" w:rsidRDefault="00205A3D">
      <w:pPr>
        <w:jc w:val="left"/>
        <w:rPr>
          <w:sz w:val="24"/>
          <w:szCs w:val="24"/>
        </w:rPr>
      </w:pPr>
      <w:r w:rsidRPr="009E250D">
        <w:rPr>
          <w:sz w:val="24"/>
          <w:szCs w:val="24"/>
        </w:rPr>
        <w:t>Donacije bi se trebale primiti od neprofitnih inozemnih organizacija sukladno potpisanom sporazumu.</w:t>
      </w:r>
      <w:r w:rsidR="00980720">
        <w:rPr>
          <w:sz w:val="24"/>
          <w:szCs w:val="24"/>
        </w:rPr>
        <w:t xml:space="preserve"> U 2024</w:t>
      </w:r>
      <w:r w:rsidR="006747F0" w:rsidRPr="009E250D">
        <w:rPr>
          <w:sz w:val="24"/>
          <w:szCs w:val="24"/>
        </w:rPr>
        <w:t>. očekuje se primitak preosta</w:t>
      </w:r>
      <w:r w:rsidR="009E250D" w:rsidRPr="009E250D">
        <w:rPr>
          <w:sz w:val="24"/>
          <w:szCs w:val="24"/>
        </w:rPr>
        <w:t xml:space="preserve">log dijela odnosno zadnjih 20 % </w:t>
      </w:r>
      <w:r w:rsidR="00980720">
        <w:rPr>
          <w:sz w:val="24"/>
          <w:szCs w:val="24"/>
        </w:rPr>
        <w:t>.</w:t>
      </w:r>
    </w:p>
    <w:p w14:paraId="4F959737" w14:textId="403E3548" w:rsidR="006747F0" w:rsidRDefault="006747F0">
      <w:pPr>
        <w:jc w:val="left"/>
      </w:pPr>
    </w:p>
    <w:p w14:paraId="41976B8A" w14:textId="77777777" w:rsidR="00B924BC" w:rsidRDefault="00B924BC">
      <w:pPr>
        <w:jc w:val="left"/>
      </w:pPr>
    </w:p>
    <w:p w14:paraId="69056758" w14:textId="52D82773" w:rsidR="00B924BC" w:rsidRDefault="003142ED">
      <w:pPr>
        <w:pStyle w:val="Naslov4"/>
      </w:pPr>
      <w:r>
        <w:lastRenderedPageBreak/>
        <w:t>A634002 MEĐUNARODNA SURADNJA DRŽAVNIH ODVJENIŠTAVA</w:t>
      </w:r>
    </w:p>
    <w:p w14:paraId="19D8FA69" w14:textId="77777777" w:rsidR="00247427" w:rsidRPr="002D5A89" w:rsidRDefault="00247427">
      <w:pPr>
        <w:rPr>
          <w:b/>
        </w:rPr>
      </w:pPr>
      <w:r w:rsidRPr="002D5A89">
        <w:rPr>
          <w:b/>
        </w:rPr>
        <w:t>Zakonske i druge pravne osnove</w:t>
      </w:r>
    </w:p>
    <w:p w14:paraId="2F38740F" w14:textId="6CAAF48C" w:rsidR="00B924BC" w:rsidRDefault="00247427">
      <w:r w:rsidRPr="002D5A89">
        <w:t>Zakon o državnom odvjetništvu, Zakon o međunarodnoj pravnoj pomoći u kaznenim stvarima</w:t>
      </w:r>
    </w:p>
    <w:tbl>
      <w:tblPr>
        <w:tblStyle w:val="StilTablice"/>
        <w:tblW w:w="10201" w:type="dxa"/>
        <w:jc w:val="center"/>
        <w:tblLook w:val="04A0" w:firstRow="1" w:lastRow="0" w:firstColumn="1" w:lastColumn="0" w:noHBand="0" w:noVBand="1"/>
      </w:tblPr>
      <w:tblGrid>
        <w:gridCol w:w="1696"/>
        <w:gridCol w:w="1472"/>
        <w:gridCol w:w="1505"/>
        <w:gridCol w:w="1418"/>
        <w:gridCol w:w="1417"/>
        <w:gridCol w:w="1559"/>
        <w:gridCol w:w="1134"/>
      </w:tblGrid>
      <w:tr w:rsidR="005F1F27" w14:paraId="6B00B9F8" w14:textId="77777777" w:rsidTr="005F1F27">
        <w:trPr>
          <w:jc w:val="center"/>
        </w:trPr>
        <w:tc>
          <w:tcPr>
            <w:tcW w:w="1696" w:type="dxa"/>
            <w:shd w:val="clear" w:color="auto" w:fill="B5C0D8"/>
          </w:tcPr>
          <w:p w14:paraId="23C92756" w14:textId="77777777" w:rsidR="005F1F27" w:rsidRDefault="005F1F27" w:rsidP="003C5DBA">
            <w:pPr>
              <w:pStyle w:val="CellHeader"/>
              <w:jc w:val="center"/>
            </w:pPr>
            <w:r>
              <w:rPr>
                <w:rFonts w:cs="Times New Roman"/>
              </w:rPr>
              <w:t>Naziv aktivnosti</w:t>
            </w:r>
          </w:p>
        </w:tc>
        <w:tc>
          <w:tcPr>
            <w:tcW w:w="1472" w:type="dxa"/>
            <w:shd w:val="clear" w:color="auto" w:fill="B5C0D8"/>
          </w:tcPr>
          <w:p w14:paraId="76F6D772" w14:textId="0CC20B35" w:rsidR="005F1F27" w:rsidRDefault="00980720" w:rsidP="003C5DBA">
            <w:pPr>
              <w:pStyle w:val="CellHeader"/>
              <w:jc w:val="center"/>
            </w:pPr>
            <w:r>
              <w:rPr>
                <w:rFonts w:cs="Times New Roman"/>
              </w:rPr>
              <w:t>Izvršenje 2022</w:t>
            </w:r>
            <w:r w:rsidR="005F1F27">
              <w:rPr>
                <w:rFonts w:cs="Times New Roman"/>
              </w:rPr>
              <w:t>.</w:t>
            </w:r>
          </w:p>
        </w:tc>
        <w:tc>
          <w:tcPr>
            <w:tcW w:w="1505" w:type="dxa"/>
            <w:shd w:val="clear" w:color="auto" w:fill="B5C0D8"/>
          </w:tcPr>
          <w:p w14:paraId="76B41C02" w14:textId="3F79C5DF" w:rsidR="005F1F27" w:rsidRDefault="00980720" w:rsidP="003C5DBA">
            <w:pPr>
              <w:pStyle w:val="CellHeader"/>
              <w:jc w:val="center"/>
            </w:pPr>
            <w:r>
              <w:rPr>
                <w:rFonts w:cs="Times New Roman"/>
              </w:rPr>
              <w:t>Plan 2023</w:t>
            </w:r>
            <w:r w:rsidR="005F1F27">
              <w:rPr>
                <w:rFonts w:cs="Times New Roman"/>
              </w:rPr>
              <w:t>.</w:t>
            </w:r>
          </w:p>
        </w:tc>
        <w:tc>
          <w:tcPr>
            <w:tcW w:w="1418" w:type="dxa"/>
            <w:shd w:val="clear" w:color="auto" w:fill="B5C0D8"/>
          </w:tcPr>
          <w:p w14:paraId="1BD262F6" w14:textId="184DA0FF" w:rsidR="005F1F27" w:rsidRDefault="00980720" w:rsidP="003C5DBA">
            <w:pPr>
              <w:pStyle w:val="CellHeader"/>
              <w:jc w:val="center"/>
              <w:rPr>
                <w:rFonts w:cs="Times New Roman"/>
              </w:rPr>
            </w:pPr>
            <w:r>
              <w:rPr>
                <w:rFonts w:cs="Times New Roman"/>
              </w:rPr>
              <w:t>Plan 2024</w:t>
            </w:r>
            <w:r w:rsidR="005F1F27">
              <w:rPr>
                <w:rFonts w:cs="Times New Roman"/>
              </w:rPr>
              <w:t>.</w:t>
            </w:r>
          </w:p>
          <w:p w14:paraId="712B3674" w14:textId="77777777" w:rsidR="005F1F27" w:rsidRDefault="005F1F27" w:rsidP="003C5DBA">
            <w:pPr>
              <w:pStyle w:val="CellHeader"/>
              <w:jc w:val="center"/>
              <w:rPr>
                <w:rFonts w:cs="Times New Roman"/>
              </w:rPr>
            </w:pPr>
            <w:r>
              <w:rPr>
                <w:rFonts w:cs="Times New Roman"/>
              </w:rPr>
              <w:t>EUR</w:t>
            </w:r>
          </w:p>
          <w:p w14:paraId="744C48DC" w14:textId="77777777" w:rsidR="005F1F27" w:rsidRDefault="005F1F27" w:rsidP="003C5DBA">
            <w:pPr>
              <w:pStyle w:val="CellHeader"/>
              <w:jc w:val="center"/>
              <w:rPr>
                <w:rFonts w:cs="Times New Roman"/>
              </w:rPr>
            </w:pPr>
          </w:p>
        </w:tc>
        <w:tc>
          <w:tcPr>
            <w:tcW w:w="1417" w:type="dxa"/>
            <w:shd w:val="clear" w:color="auto" w:fill="B5C0D8"/>
          </w:tcPr>
          <w:p w14:paraId="031CA9A3" w14:textId="3A3764A4" w:rsidR="005F1F27" w:rsidRDefault="00980720" w:rsidP="003C5DBA">
            <w:pPr>
              <w:pStyle w:val="CellHeader"/>
              <w:jc w:val="center"/>
              <w:rPr>
                <w:rFonts w:cs="Times New Roman"/>
              </w:rPr>
            </w:pPr>
            <w:r>
              <w:rPr>
                <w:rFonts w:cs="Times New Roman"/>
              </w:rPr>
              <w:t>Plan 2025</w:t>
            </w:r>
            <w:r w:rsidR="005F1F27">
              <w:rPr>
                <w:rFonts w:cs="Times New Roman"/>
              </w:rPr>
              <w:t>.</w:t>
            </w:r>
          </w:p>
          <w:p w14:paraId="7DA48A2F" w14:textId="77777777" w:rsidR="005F1F27" w:rsidRDefault="005F1F27" w:rsidP="003C5DBA">
            <w:pPr>
              <w:pStyle w:val="CellHeader"/>
              <w:jc w:val="center"/>
              <w:rPr>
                <w:rFonts w:cs="Times New Roman"/>
              </w:rPr>
            </w:pPr>
            <w:r>
              <w:rPr>
                <w:rFonts w:cs="Times New Roman"/>
              </w:rPr>
              <w:t>EUR</w:t>
            </w:r>
          </w:p>
          <w:p w14:paraId="172404EB" w14:textId="77777777" w:rsidR="005F1F27" w:rsidRDefault="005F1F27" w:rsidP="003C5DBA">
            <w:pPr>
              <w:pStyle w:val="CellHeader"/>
              <w:jc w:val="center"/>
              <w:rPr>
                <w:rFonts w:cs="Times New Roman"/>
              </w:rPr>
            </w:pPr>
          </w:p>
        </w:tc>
        <w:tc>
          <w:tcPr>
            <w:tcW w:w="1559" w:type="dxa"/>
            <w:shd w:val="clear" w:color="auto" w:fill="B5C0D8"/>
          </w:tcPr>
          <w:p w14:paraId="651F2FC1" w14:textId="4606B973" w:rsidR="005F1F27" w:rsidRDefault="005F1F27" w:rsidP="003C5DBA">
            <w:pPr>
              <w:pStyle w:val="CellHeader"/>
              <w:jc w:val="center"/>
              <w:rPr>
                <w:rFonts w:cs="Times New Roman"/>
              </w:rPr>
            </w:pPr>
            <w:r>
              <w:rPr>
                <w:rFonts w:cs="Times New Roman"/>
              </w:rPr>
              <w:t xml:space="preserve">Plan </w:t>
            </w:r>
            <w:r w:rsidR="00980720">
              <w:rPr>
                <w:rFonts w:cs="Times New Roman"/>
              </w:rPr>
              <w:t>2026</w:t>
            </w:r>
            <w:r>
              <w:rPr>
                <w:rFonts w:cs="Times New Roman"/>
              </w:rPr>
              <w:t>.</w:t>
            </w:r>
          </w:p>
          <w:p w14:paraId="7877DC05" w14:textId="77777777" w:rsidR="005F1F27" w:rsidRDefault="005F1F27" w:rsidP="003C5DBA">
            <w:pPr>
              <w:pStyle w:val="CellHeader"/>
              <w:jc w:val="center"/>
              <w:rPr>
                <w:rFonts w:cs="Times New Roman"/>
              </w:rPr>
            </w:pPr>
            <w:r>
              <w:rPr>
                <w:rFonts w:cs="Times New Roman"/>
              </w:rPr>
              <w:t>EUR</w:t>
            </w:r>
          </w:p>
          <w:p w14:paraId="2F3DAA91" w14:textId="77777777" w:rsidR="005F1F27" w:rsidRDefault="005F1F27" w:rsidP="003C5DBA">
            <w:pPr>
              <w:pStyle w:val="CellHeader"/>
              <w:jc w:val="center"/>
              <w:rPr>
                <w:rFonts w:cs="Times New Roman"/>
              </w:rPr>
            </w:pPr>
          </w:p>
        </w:tc>
        <w:tc>
          <w:tcPr>
            <w:tcW w:w="1134" w:type="dxa"/>
            <w:shd w:val="clear" w:color="auto" w:fill="B5C0D8"/>
          </w:tcPr>
          <w:p w14:paraId="0B41810E" w14:textId="188EA791" w:rsidR="005F1F27" w:rsidRDefault="00980720" w:rsidP="00980720">
            <w:pPr>
              <w:pStyle w:val="CellHeader"/>
              <w:jc w:val="center"/>
            </w:pPr>
            <w:r>
              <w:rPr>
                <w:rFonts w:cs="Times New Roman"/>
              </w:rPr>
              <w:t>Indeks 2024</w:t>
            </w:r>
            <w:r w:rsidR="005F1F27">
              <w:rPr>
                <w:rFonts w:cs="Times New Roman"/>
              </w:rPr>
              <w:t>/202</w:t>
            </w:r>
            <w:r>
              <w:rPr>
                <w:rFonts w:cs="Times New Roman"/>
              </w:rPr>
              <w:t>3</w:t>
            </w:r>
          </w:p>
        </w:tc>
      </w:tr>
      <w:tr w:rsidR="005F1F27" w14:paraId="7E243DDD" w14:textId="77777777" w:rsidTr="005F1F27">
        <w:trPr>
          <w:jc w:val="center"/>
        </w:trPr>
        <w:tc>
          <w:tcPr>
            <w:tcW w:w="1696" w:type="dxa"/>
            <w:vAlign w:val="top"/>
          </w:tcPr>
          <w:p w14:paraId="15EB4EAA" w14:textId="3E139A77" w:rsidR="005F1F27" w:rsidRDefault="005F1F27">
            <w:pPr>
              <w:pStyle w:val="CellColumn"/>
              <w:jc w:val="left"/>
            </w:pPr>
            <w:r>
              <w:rPr>
                <w:rFonts w:cs="Times New Roman"/>
              </w:rPr>
              <w:t>A634002</w:t>
            </w:r>
          </w:p>
        </w:tc>
        <w:tc>
          <w:tcPr>
            <w:tcW w:w="1472" w:type="dxa"/>
            <w:vAlign w:val="top"/>
          </w:tcPr>
          <w:p w14:paraId="7F359510" w14:textId="0356A7DB" w:rsidR="005F1F27" w:rsidRDefault="00A53006" w:rsidP="005F1F27">
            <w:pPr>
              <w:jc w:val="center"/>
            </w:pPr>
            <w:r>
              <w:t>20.813,72</w:t>
            </w:r>
          </w:p>
        </w:tc>
        <w:tc>
          <w:tcPr>
            <w:tcW w:w="1505" w:type="dxa"/>
            <w:vAlign w:val="top"/>
          </w:tcPr>
          <w:p w14:paraId="45A487B0" w14:textId="3837BCEA" w:rsidR="005F1F27" w:rsidRDefault="00980720" w:rsidP="005F1F27">
            <w:pPr>
              <w:jc w:val="center"/>
            </w:pPr>
            <w:r>
              <w:t>35.331,00</w:t>
            </w:r>
          </w:p>
        </w:tc>
        <w:tc>
          <w:tcPr>
            <w:tcW w:w="1418" w:type="dxa"/>
          </w:tcPr>
          <w:p w14:paraId="25E385E9" w14:textId="155259B1" w:rsidR="005F1F27" w:rsidRDefault="00726FA1" w:rsidP="005F1F27">
            <w:pPr>
              <w:jc w:val="center"/>
            </w:pPr>
            <w:r>
              <w:t>44.800,00</w:t>
            </w:r>
          </w:p>
        </w:tc>
        <w:tc>
          <w:tcPr>
            <w:tcW w:w="1417" w:type="dxa"/>
          </w:tcPr>
          <w:p w14:paraId="5A01D4AC" w14:textId="4B6716A8" w:rsidR="005F1F27" w:rsidRDefault="00726FA1" w:rsidP="005F1F27">
            <w:pPr>
              <w:jc w:val="center"/>
            </w:pPr>
            <w:r>
              <w:t>44.800,00</w:t>
            </w:r>
          </w:p>
        </w:tc>
        <w:tc>
          <w:tcPr>
            <w:tcW w:w="1559" w:type="dxa"/>
          </w:tcPr>
          <w:p w14:paraId="0A33730C" w14:textId="759D5DE7" w:rsidR="005F1F27" w:rsidRDefault="00726FA1" w:rsidP="005F1F27">
            <w:pPr>
              <w:jc w:val="center"/>
            </w:pPr>
            <w:r>
              <w:t>50.300,00</w:t>
            </w:r>
          </w:p>
        </w:tc>
        <w:tc>
          <w:tcPr>
            <w:tcW w:w="1134" w:type="dxa"/>
            <w:vAlign w:val="top"/>
          </w:tcPr>
          <w:p w14:paraId="2C20B749" w14:textId="36AC8BD9" w:rsidR="005F1F27" w:rsidRDefault="00980720" w:rsidP="00726FA1">
            <w:pPr>
              <w:jc w:val="center"/>
            </w:pPr>
            <w:r>
              <w:t>1</w:t>
            </w:r>
            <w:r w:rsidR="00726FA1">
              <w:t>26</w:t>
            </w:r>
          </w:p>
        </w:tc>
      </w:tr>
    </w:tbl>
    <w:p w14:paraId="4F663907" w14:textId="0C36BB7C" w:rsidR="00B924BC" w:rsidRDefault="00B924BC">
      <w:pPr>
        <w:jc w:val="left"/>
      </w:pPr>
    </w:p>
    <w:p w14:paraId="20BA9E45" w14:textId="04A88159" w:rsidR="009E250D" w:rsidRPr="009E250D" w:rsidRDefault="009E250D">
      <w:pPr>
        <w:jc w:val="left"/>
        <w:rPr>
          <w:b/>
        </w:rPr>
      </w:pPr>
      <w:r w:rsidRPr="009E250D">
        <w:rPr>
          <w:b/>
        </w:rPr>
        <w:t>IZVOR 11</w:t>
      </w:r>
    </w:p>
    <w:p w14:paraId="524BF7A4" w14:textId="2E958244" w:rsidR="00B924BC" w:rsidRPr="00442D35" w:rsidRDefault="009E250D">
      <w:pPr>
        <w:jc w:val="left"/>
        <w:rPr>
          <w:sz w:val="24"/>
          <w:szCs w:val="24"/>
        </w:rPr>
      </w:pPr>
      <w:r w:rsidRPr="00442D35">
        <w:rPr>
          <w:sz w:val="24"/>
          <w:szCs w:val="24"/>
        </w:rPr>
        <w:t>Prijedlog proračuna za materijalane rashode se odnosi za podmirenje sljedećih rashoda: rashodi službenih putovanja, usluga prijevoda, naknade troškova osobama izvan radnog odnosa-službena putovanja-(savjetnicima koji su iz drugih tijela upućeni na rad u DORH), rashode reprezentacije za ugošćavanje inozemnih delegacija, rashode protokola prilikom odlaska predstavnika DORH-a i posjeta inozemnih delegaciju DORH-u i sl.</w:t>
      </w:r>
    </w:p>
    <w:p w14:paraId="0B2B6125" w14:textId="66E4B51C" w:rsidR="009E250D" w:rsidRPr="009E250D" w:rsidRDefault="009E250D">
      <w:pPr>
        <w:jc w:val="left"/>
        <w:rPr>
          <w:b/>
        </w:rPr>
      </w:pPr>
      <w:r w:rsidRPr="009E250D">
        <w:rPr>
          <w:b/>
        </w:rPr>
        <w:t xml:space="preserve">IZVOR 51 </w:t>
      </w:r>
    </w:p>
    <w:p w14:paraId="7545A4AE" w14:textId="4B028D9B" w:rsidR="009E250D" w:rsidRPr="00442D35" w:rsidRDefault="009E250D">
      <w:pPr>
        <w:jc w:val="left"/>
        <w:rPr>
          <w:sz w:val="24"/>
          <w:szCs w:val="24"/>
        </w:rPr>
      </w:pPr>
      <w:r w:rsidRPr="00442D35">
        <w:rPr>
          <w:sz w:val="24"/>
          <w:szCs w:val="24"/>
        </w:rPr>
        <w:t>Pomoći bi se trebale ostvariti od refundacija troškova za inozemna službena putovanja od raznih EU institucija</w:t>
      </w:r>
      <w:r w:rsidR="00AC0167">
        <w:rPr>
          <w:sz w:val="24"/>
          <w:szCs w:val="24"/>
        </w:rPr>
        <w:t xml:space="preserve"> (predviđanja).</w:t>
      </w:r>
    </w:p>
    <w:p w14:paraId="4713ABF5" w14:textId="77777777" w:rsidR="00B924BC" w:rsidRDefault="00B924BC">
      <w:pPr>
        <w:jc w:val="left"/>
      </w:pPr>
    </w:p>
    <w:p w14:paraId="58B8BB88" w14:textId="4D664999" w:rsidR="00B924BC" w:rsidRDefault="003142ED">
      <w:pPr>
        <w:pStyle w:val="Naslov4"/>
      </w:pPr>
      <w:r>
        <w:t>A634013 ZASTUPANJE REPUBLIKE HRVATSKE U INOZEMSTVU</w:t>
      </w:r>
    </w:p>
    <w:p w14:paraId="2D4B8628" w14:textId="77777777" w:rsidR="00247427" w:rsidRPr="002D5A89" w:rsidRDefault="00247427">
      <w:pPr>
        <w:rPr>
          <w:b/>
        </w:rPr>
      </w:pPr>
      <w:r w:rsidRPr="002D5A89">
        <w:rPr>
          <w:b/>
        </w:rPr>
        <w:t xml:space="preserve">Zakonske i druge pravne osnove </w:t>
      </w:r>
    </w:p>
    <w:p w14:paraId="1C9A2575" w14:textId="2DACD72E" w:rsidR="002F0A69" w:rsidRDefault="00247427">
      <w:r w:rsidRPr="002D5A89">
        <w:t>Zakon o državnom odvjetništvu</w:t>
      </w:r>
    </w:p>
    <w:tbl>
      <w:tblPr>
        <w:tblStyle w:val="StilTablice"/>
        <w:tblW w:w="10207" w:type="dxa"/>
        <w:jc w:val="center"/>
        <w:tblLayout w:type="fixed"/>
        <w:tblLook w:val="04A0" w:firstRow="1" w:lastRow="0" w:firstColumn="1" w:lastColumn="0" w:noHBand="0" w:noVBand="1"/>
      </w:tblPr>
      <w:tblGrid>
        <w:gridCol w:w="1413"/>
        <w:gridCol w:w="1564"/>
        <w:gridCol w:w="1696"/>
        <w:gridCol w:w="1565"/>
        <w:gridCol w:w="1417"/>
        <w:gridCol w:w="1559"/>
        <w:gridCol w:w="993"/>
      </w:tblGrid>
      <w:tr w:rsidR="000068A2" w14:paraId="5E09BEB0" w14:textId="77777777" w:rsidTr="000068A2">
        <w:trPr>
          <w:jc w:val="center"/>
        </w:trPr>
        <w:tc>
          <w:tcPr>
            <w:tcW w:w="1413" w:type="dxa"/>
            <w:shd w:val="clear" w:color="auto" w:fill="B5C0D8"/>
          </w:tcPr>
          <w:p w14:paraId="609BAC4E" w14:textId="77777777" w:rsidR="000068A2" w:rsidRDefault="000068A2" w:rsidP="003C5DBA">
            <w:pPr>
              <w:pStyle w:val="CellHeader"/>
              <w:jc w:val="center"/>
            </w:pPr>
            <w:r>
              <w:rPr>
                <w:rFonts w:cs="Times New Roman"/>
              </w:rPr>
              <w:t>Naziv aktivnosti</w:t>
            </w:r>
          </w:p>
        </w:tc>
        <w:tc>
          <w:tcPr>
            <w:tcW w:w="1564" w:type="dxa"/>
            <w:shd w:val="clear" w:color="auto" w:fill="B5C0D8"/>
          </w:tcPr>
          <w:p w14:paraId="4F2E0C05" w14:textId="292966D3" w:rsidR="000068A2" w:rsidRDefault="00980720" w:rsidP="003C5DBA">
            <w:pPr>
              <w:pStyle w:val="CellHeader"/>
              <w:jc w:val="center"/>
            </w:pPr>
            <w:r>
              <w:rPr>
                <w:rFonts w:cs="Times New Roman"/>
              </w:rPr>
              <w:t>Izvršenje 2022</w:t>
            </w:r>
            <w:r w:rsidR="000068A2">
              <w:rPr>
                <w:rFonts w:cs="Times New Roman"/>
              </w:rPr>
              <w:t>.</w:t>
            </w:r>
          </w:p>
        </w:tc>
        <w:tc>
          <w:tcPr>
            <w:tcW w:w="1696" w:type="dxa"/>
            <w:shd w:val="clear" w:color="auto" w:fill="B5C0D8"/>
          </w:tcPr>
          <w:p w14:paraId="348FF3EF" w14:textId="38FC01E0" w:rsidR="000068A2" w:rsidRDefault="00980720" w:rsidP="003C5DBA">
            <w:pPr>
              <w:pStyle w:val="CellHeader"/>
              <w:jc w:val="center"/>
            </w:pPr>
            <w:r>
              <w:rPr>
                <w:rFonts w:cs="Times New Roman"/>
              </w:rPr>
              <w:t>Plan 2023</w:t>
            </w:r>
            <w:r w:rsidR="000068A2">
              <w:rPr>
                <w:rFonts w:cs="Times New Roman"/>
              </w:rPr>
              <w:t>.</w:t>
            </w:r>
          </w:p>
        </w:tc>
        <w:tc>
          <w:tcPr>
            <w:tcW w:w="1565" w:type="dxa"/>
            <w:shd w:val="clear" w:color="auto" w:fill="B5C0D8"/>
          </w:tcPr>
          <w:p w14:paraId="50BC5DF5" w14:textId="4DACD1D1" w:rsidR="000068A2" w:rsidRDefault="000068A2" w:rsidP="003C5DBA">
            <w:pPr>
              <w:pStyle w:val="CellHeader"/>
              <w:jc w:val="center"/>
              <w:rPr>
                <w:rFonts w:cs="Times New Roman"/>
              </w:rPr>
            </w:pPr>
            <w:r>
              <w:rPr>
                <w:rFonts w:cs="Times New Roman"/>
              </w:rPr>
              <w:t>Plan 202</w:t>
            </w:r>
            <w:r w:rsidR="00980720">
              <w:rPr>
                <w:rFonts w:cs="Times New Roman"/>
              </w:rPr>
              <w:t>4</w:t>
            </w:r>
            <w:r>
              <w:rPr>
                <w:rFonts w:cs="Times New Roman"/>
              </w:rPr>
              <w:t>.</w:t>
            </w:r>
          </w:p>
          <w:p w14:paraId="656D5412" w14:textId="77777777" w:rsidR="000068A2" w:rsidRDefault="000068A2" w:rsidP="003C5DBA">
            <w:pPr>
              <w:pStyle w:val="CellHeader"/>
              <w:jc w:val="center"/>
              <w:rPr>
                <w:rFonts w:cs="Times New Roman"/>
              </w:rPr>
            </w:pPr>
            <w:r>
              <w:rPr>
                <w:rFonts w:cs="Times New Roman"/>
              </w:rPr>
              <w:t>EUR</w:t>
            </w:r>
          </w:p>
          <w:p w14:paraId="0C1FDF90" w14:textId="77777777" w:rsidR="000068A2" w:rsidRDefault="000068A2" w:rsidP="003C5DBA">
            <w:pPr>
              <w:pStyle w:val="CellHeader"/>
              <w:jc w:val="center"/>
              <w:rPr>
                <w:rFonts w:cs="Times New Roman"/>
              </w:rPr>
            </w:pPr>
          </w:p>
        </w:tc>
        <w:tc>
          <w:tcPr>
            <w:tcW w:w="1417" w:type="dxa"/>
            <w:shd w:val="clear" w:color="auto" w:fill="B5C0D8"/>
          </w:tcPr>
          <w:p w14:paraId="395FEAE7" w14:textId="56D3789B" w:rsidR="000068A2" w:rsidRDefault="00980720" w:rsidP="0065760E">
            <w:pPr>
              <w:pStyle w:val="CellHeader"/>
              <w:jc w:val="center"/>
              <w:rPr>
                <w:rFonts w:cs="Times New Roman"/>
              </w:rPr>
            </w:pPr>
            <w:r>
              <w:rPr>
                <w:rFonts w:cs="Times New Roman"/>
              </w:rPr>
              <w:t>Plan 2025</w:t>
            </w:r>
            <w:r w:rsidR="000068A2">
              <w:rPr>
                <w:rFonts w:cs="Times New Roman"/>
              </w:rPr>
              <w:t>.</w:t>
            </w:r>
          </w:p>
          <w:p w14:paraId="2FC370B1" w14:textId="77777777" w:rsidR="000068A2" w:rsidRDefault="000068A2" w:rsidP="0065760E">
            <w:pPr>
              <w:pStyle w:val="CellHeader"/>
              <w:jc w:val="center"/>
              <w:rPr>
                <w:rFonts w:cs="Times New Roman"/>
              </w:rPr>
            </w:pPr>
            <w:r>
              <w:rPr>
                <w:rFonts w:cs="Times New Roman"/>
              </w:rPr>
              <w:t>EUR</w:t>
            </w:r>
          </w:p>
          <w:p w14:paraId="6206A14B" w14:textId="77777777" w:rsidR="000068A2" w:rsidRDefault="000068A2" w:rsidP="003C5DBA">
            <w:pPr>
              <w:pStyle w:val="CellHeader"/>
              <w:jc w:val="center"/>
              <w:rPr>
                <w:rFonts w:cs="Times New Roman"/>
              </w:rPr>
            </w:pPr>
          </w:p>
        </w:tc>
        <w:tc>
          <w:tcPr>
            <w:tcW w:w="1559" w:type="dxa"/>
            <w:shd w:val="clear" w:color="auto" w:fill="B5C0D8"/>
          </w:tcPr>
          <w:p w14:paraId="2F352029" w14:textId="058E26C3" w:rsidR="000068A2" w:rsidRDefault="00980720" w:rsidP="0065760E">
            <w:pPr>
              <w:pStyle w:val="CellHeader"/>
              <w:jc w:val="center"/>
              <w:rPr>
                <w:rFonts w:cs="Times New Roman"/>
              </w:rPr>
            </w:pPr>
            <w:r>
              <w:rPr>
                <w:rFonts w:cs="Times New Roman"/>
              </w:rPr>
              <w:t>Plan 2026</w:t>
            </w:r>
            <w:r w:rsidR="000068A2">
              <w:rPr>
                <w:rFonts w:cs="Times New Roman"/>
              </w:rPr>
              <w:t>.</w:t>
            </w:r>
          </w:p>
          <w:p w14:paraId="241F966B" w14:textId="77777777" w:rsidR="000068A2" w:rsidRDefault="000068A2" w:rsidP="0065760E">
            <w:pPr>
              <w:pStyle w:val="CellHeader"/>
              <w:jc w:val="center"/>
              <w:rPr>
                <w:rFonts w:cs="Times New Roman"/>
              </w:rPr>
            </w:pPr>
            <w:r>
              <w:rPr>
                <w:rFonts w:cs="Times New Roman"/>
              </w:rPr>
              <w:t>EUR</w:t>
            </w:r>
          </w:p>
          <w:p w14:paraId="39343051" w14:textId="77777777" w:rsidR="000068A2" w:rsidRDefault="000068A2" w:rsidP="003C5DBA">
            <w:pPr>
              <w:pStyle w:val="CellHeader"/>
              <w:jc w:val="center"/>
              <w:rPr>
                <w:rFonts w:cs="Times New Roman"/>
              </w:rPr>
            </w:pPr>
          </w:p>
        </w:tc>
        <w:tc>
          <w:tcPr>
            <w:tcW w:w="993" w:type="dxa"/>
            <w:shd w:val="clear" w:color="auto" w:fill="B5C0D8"/>
          </w:tcPr>
          <w:p w14:paraId="263F1B5E" w14:textId="58AB4BC7" w:rsidR="000068A2" w:rsidRDefault="000068A2" w:rsidP="00980720">
            <w:pPr>
              <w:pStyle w:val="CellHeader"/>
              <w:jc w:val="center"/>
            </w:pPr>
            <w:r>
              <w:rPr>
                <w:rFonts w:cs="Times New Roman"/>
              </w:rPr>
              <w:t>Indeks 202</w:t>
            </w:r>
            <w:r w:rsidR="00980720">
              <w:rPr>
                <w:rFonts w:cs="Times New Roman"/>
              </w:rPr>
              <w:t>4/2023</w:t>
            </w:r>
          </w:p>
        </w:tc>
      </w:tr>
      <w:tr w:rsidR="000068A2" w14:paraId="3143CC91" w14:textId="77777777" w:rsidTr="000068A2">
        <w:trPr>
          <w:jc w:val="center"/>
        </w:trPr>
        <w:tc>
          <w:tcPr>
            <w:tcW w:w="1413" w:type="dxa"/>
            <w:vAlign w:val="top"/>
          </w:tcPr>
          <w:p w14:paraId="36E5421A" w14:textId="2685FA9B" w:rsidR="000068A2" w:rsidRDefault="000068A2" w:rsidP="003C5DBA">
            <w:pPr>
              <w:pStyle w:val="CellColumn"/>
              <w:jc w:val="left"/>
            </w:pPr>
            <w:r>
              <w:rPr>
                <w:rFonts w:cs="Times New Roman"/>
              </w:rPr>
              <w:t>A634013</w:t>
            </w:r>
          </w:p>
        </w:tc>
        <w:tc>
          <w:tcPr>
            <w:tcW w:w="1564" w:type="dxa"/>
            <w:vAlign w:val="top"/>
          </w:tcPr>
          <w:p w14:paraId="1425A2F5" w14:textId="0597EEC7" w:rsidR="000068A2" w:rsidRDefault="00A53006" w:rsidP="000068A2">
            <w:pPr>
              <w:jc w:val="center"/>
            </w:pPr>
            <w:r>
              <w:t>3.774.467,22</w:t>
            </w:r>
          </w:p>
        </w:tc>
        <w:tc>
          <w:tcPr>
            <w:tcW w:w="1696" w:type="dxa"/>
            <w:vAlign w:val="top"/>
          </w:tcPr>
          <w:p w14:paraId="02E95DBC" w14:textId="029C10F0" w:rsidR="000068A2" w:rsidRDefault="00980720" w:rsidP="000068A2">
            <w:pPr>
              <w:jc w:val="center"/>
            </w:pPr>
            <w:r>
              <w:t>5.009.384,00</w:t>
            </w:r>
          </w:p>
        </w:tc>
        <w:tc>
          <w:tcPr>
            <w:tcW w:w="1565" w:type="dxa"/>
          </w:tcPr>
          <w:p w14:paraId="7A959BC4" w14:textId="2D95C141" w:rsidR="000068A2" w:rsidRDefault="00980720" w:rsidP="000068A2">
            <w:pPr>
              <w:jc w:val="center"/>
            </w:pPr>
            <w:r>
              <w:t>5.552.000,00</w:t>
            </w:r>
          </w:p>
        </w:tc>
        <w:tc>
          <w:tcPr>
            <w:tcW w:w="1417" w:type="dxa"/>
          </w:tcPr>
          <w:p w14:paraId="037F4852" w14:textId="407B3806" w:rsidR="000068A2" w:rsidRDefault="00980720" w:rsidP="000068A2">
            <w:pPr>
              <w:jc w:val="center"/>
            </w:pPr>
            <w:r>
              <w:t>5.541.000,00</w:t>
            </w:r>
          </w:p>
        </w:tc>
        <w:tc>
          <w:tcPr>
            <w:tcW w:w="1559" w:type="dxa"/>
          </w:tcPr>
          <w:p w14:paraId="69482534" w14:textId="003518D1" w:rsidR="000068A2" w:rsidRDefault="00980720" w:rsidP="000068A2">
            <w:pPr>
              <w:jc w:val="center"/>
            </w:pPr>
            <w:r>
              <w:t>5.542.000,00</w:t>
            </w:r>
          </w:p>
        </w:tc>
        <w:tc>
          <w:tcPr>
            <w:tcW w:w="993" w:type="dxa"/>
            <w:vAlign w:val="top"/>
          </w:tcPr>
          <w:p w14:paraId="6D60AFC3" w14:textId="5EAB4309" w:rsidR="000068A2" w:rsidRDefault="00980720" w:rsidP="000068A2">
            <w:pPr>
              <w:jc w:val="center"/>
            </w:pPr>
            <w:r>
              <w:t>111</w:t>
            </w:r>
          </w:p>
        </w:tc>
      </w:tr>
    </w:tbl>
    <w:p w14:paraId="110BB2EA" w14:textId="77777777" w:rsidR="00B924BC" w:rsidRDefault="00B924BC">
      <w:pPr>
        <w:jc w:val="left"/>
      </w:pPr>
    </w:p>
    <w:p w14:paraId="590E3A06" w14:textId="737D26F9" w:rsidR="007B2FE3" w:rsidRDefault="00B95D8B">
      <w:pPr>
        <w:jc w:val="left"/>
        <w:rPr>
          <w:sz w:val="24"/>
          <w:szCs w:val="24"/>
        </w:rPr>
      </w:pPr>
      <w:r>
        <w:t>Državno odvjetništvo RH zastupa Republiku Hrvatsku u imovinskim sporovima pred inozemnim sudovima, ustanovama i drugim tijelima. U postupcima koji se vode u inozemstvu i u kojima je isključena mogućnost zastupanja po DORH-u, Glavni državni odvjetnik RH uz suglasnost Vlade RH ovlašćuje za zastupanje odgovarajućeg inozemnog stručnjaka, a što je u pravilu odvjetnik iz zemlje u kojoj se vodi pos</w:t>
      </w:r>
      <w:r w:rsidR="00980720">
        <w:t>tupak. Planirana sredstva u 2024</w:t>
      </w:r>
      <w:r>
        <w:t xml:space="preserve">. godini iznose ukupno </w:t>
      </w:r>
      <w:r w:rsidR="00980720">
        <w:t>5.552.000,00</w:t>
      </w:r>
      <w:r>
        <w:t xml:space="preserve"> eur-a od čega se najveći iznosi odnose na troškove intelektualnih i osobnih usluga – usluge odvjetnika po službenoj dužnosti, usluge vještaka te pravnih savjetnika u procesima koji se vode pred međunarodnim sudovima – </w:t>
      </w:r>
      <w:r w:rsidR="00980720">
        <w:t>4.500.000,00</w:t>
      </w:r>
      <w:r>
        <w:t xml:space="preserve"> eur-a</w:t>
      </w:r>
      <w:r w:rsidR="00980720">
        <w:t xml:space="preserve"> (iznos je iskazan sa pridodanim PDV-om , osnovica 3.600.000,00 eura)</w:t>
      </w:r>
      <w:r>
        <w:t xml:space="preserve"> i iznos od </w:t>
      </w:r>
      <w:r w:rsidR="00980720">
        <w:t>1.000.000,00</w:t>
      </w:r>
      <w:r>
        <w:t xml:space="preserve"> eur-a iskazan na stavci rashoda Pristojbe i naknade koji se odnosi na plaćanja sudskih pristojbi inozemnim sudovima. Iznosi u 202</w:t>
      </w:r>
      <w:r w:rsidR="00980720">
        <w:t>5. i 2026</w:t>
      </w:r>
      <w:r>
        <w:t>. godini posebice za intelektualne usluge planirani su temeljem procjene DORH-a prema predviđenim i započetim arbitražnim postupcima.</w:t>
      </w:r>
    </w:p>
    <w:p w14:paraId="1B7F2284" w14:textId="630D0ACE" w:rsidR="00697DF2" w:rsidRDefault="00697DF2">
      <w:pPr>
        <w:jc w:val="left"/>
        <w:rPr>
          <w:sz w:val="24"/>
          <w:szCs w:val="24"/>
        </w:rPr>
      </w:pPr>
    </w:p>
    <w:p w14:paraId="066462D9" w14:textId="53206872" w:rsidR="0065760E" w:rsidRDefault="0065760E">
      <w:pPr>
        <w:jc w:val="left"/>
        <w:rPr>
          <w:sz w:val="24"/>
          <w:szCs w:val="24"/>
        </w:rPr>
      </w:pPr>
    </w:p>
    <w:p w14:paraId="1D53AF3D" w14:textId="2DC19FB7" w:rsidR="0065760E" w:rsidRDefault="0065760E">
      <w:pPr>
        <w:jc w:val="left"/>
        <w:rPr>
          <w:sz w:val="24"/>
          <w:szCs w:val="24"/>
        </w:rPr>
      </w:pPr>
    </w:p>
    <w:p w14:paraId="7818F2FD" w14:textId="77777777" w:rsidR="0065760E" w:rsidRDefault="0065760E">
      <w:pPr>
        <w:jc w:val="left"/>
        <w:rPr>
          <w:sz w:val="24"/>
          <w:szCs w:val="24"/>
        </w:rPr>
      </w:pPr>
    </w:p>
    <w:p w14:paraId="0C825587" w14:textId="77777777" w:rsidR="002D5A89" w:rsidRDefault="002D5A89">
      <w:pPr>
        <w:jc w:val="left"/>
        <w:rPr>
          <w:sz w:val="24"/>
          <w:szCs w:val="24"/>
        </w:rPr>
      </w:pPr>
    </w:p>
    <w:p w14:paraId="4AB0B1ED" w14:textId="7F551692" w:rsidR="007B2FE3" w:rsidRDefault="007B2FE3">
      <w:pPr>
        <w:jc w:val="left"/>
        <w:rPr>
          <w:sz w:val="24"/>
          <w:szCs w:val="24"/>
        </w:rPr>
      </w:pPr>
    </w:p>
    <w:p w14:paraId="7E4FE143" w14:textId="6006E1B3" w:rsidR="00697DF2" w:rsidRPr="00442D35" w:rsidRDefault="00697DF2">
      <w:pPr>
        <w:jc w:val="left"/>
        <w:rPr>
          <w:sz w:val="24"/>
          <w:szCs w:val="24"/>
        </w:rPr>
      </w:pPr>
    </w:p>
    <w:sectPr w:rsidR="00697DF2" w:rsidRPr="00442D35" w:rsidSect="00B22582">
      <w:headerReference w:type="default" r:id="rId7"/>
      <w:footerReference w:type="default" r:id="rId8"/>
      <w:type w:val="continuous"/>
      <w:pgSz w:w="11906" w:h="16838"/>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57B9B1" w14:textId="77777777" w:rsidR="00340FA0" w:rsidRDefault="00340FA0" w:rsidP="00F352E6">
      <w:r>
        <w:separator/>
      </w:r>
    </w:p>
  </w:endnote>
  <w:endnote w:type="continuationSeparator" w:id="0">
    <w:p w14:paraId="1074B604" w14:textId="77777777" w:rsidR="00340FA0" w:rsidRDefault="00340FA0" w:rsidP="00F35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6A23D6" w14:textId="530F2382" w:rsidR="00966FE6" w:rsidRPr="00D769ED" w:rsidRDefault="00966FE6" w:rsidP="008D5592">
    <w:pPr>
      <w:pStyle w:val="Podnoje"/>
      <w:pBdr>
        <w:top w:val="none" w:sz="0" w:space="0" w:color="auto"/>
      </w:pBdr>
      <w:jc w:val="right"/>
      <w:rPr>
        <w:sz w:val="16"/>
        <w:szCs w:val="16"/>
      </w:rPr>
    </w:pPr>
    <w:r w:rsidRPr="008D5592">
      <w:rPr>
        <w:sz w:val="16"/>
        <w:szCs w:val="16"/>
      </w:rPr>
      <w:fldChar w:fldCharType="begin"/>
    </w:r>
    <w:r w:rsidRPr="008D5592">
      <w:rPr>
        <w:sz w:val="16"/>
        <w:szCs w:val="16"/>
      </w:rPr>
      <w:instrText>PAGE   \* MERGEFORMAT</w:instrText>
    </w:r>
    <w:r w:rsidRPr="008D5592">
      <w:rPr>
        <w:sz w:val="16"/>
        <w:szCs w:val="16"/>
      </w:rPr>
      <w:fldChar w:fldCharType="separate"/>
    </w:r>
    <w:r w:rsidR="00726FA1" w:rsidRPr="00726FA1">
      <w:rPr>
        <w:noProof/>
        <w:sz w:val="16"/>
        <w:szCs w:val="16"/>
        <w:lang w:val="hr-HR"/>
      </w:rPr>
      <w:t>4</w:t>
    </w:r>
    <w:r w:rsidRPr="008D5592">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E30759" w14:textId="77777777" w:rsidR="00340FA0" w:rsidRDefault="00340FA0" w:rsidP="00F352E6">
      <w:r>
        <w:separator/>
      </w:r>
    </w:p>
  </w:footnote>
  <w:footnote w:type="continuationSeparator" w:id="0">
    <w:p w14:paraId="45D2334C" w14:textId="77777777" w:rsidR="00340FA0" w:rsidRDefault="00340FA0" w:rsidP="00F352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5BDB0B" w14:textId="77777777" w:rsidR="00966FE6" w:rsidRDefault="00966FE6" w:rsidP="00A70582">
    <w:pPr>
      <w:pStyle w:val="Zaglavlje"/>
      <w:pBdr>
        <w:bottom w:val="none" w:sz="0" w:space="0" w:color="auto"/>
      </w:pBdr>
      <w:tabs>
        <w:tab w:val="clear" w:pos="9072"/>
        <w:tab w:val="right" w:pos="9540"/>
      </w:tabs>
      <w:spacing w:after="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C76"/>
    <w:rsid w:val="000068A2"/>
    <w:rsid w:val="00013A1A"/>
    <w:rsid w:val="0002533C"/>
    <w:rsid w:val="000352D6"/>
    <w:rsid w:val="00055DBB"/>
    <w:rsid w:val="00084336"/>
    <w:rsid w:val="000C0A6C"/>
    <w:rsid w:val="000C31CD"/>
    <w:rsid w:val="000C5204"/>
    <w:rsid w:val="000C6382"/>
    <w:rsid w:val="0010779D"/>
    <w:rsid w:val="0012088F"/>
    <w:rsid w:val="001236BF"/>
    <w:rsid w:val="0013155A"/>
    <w:rsid w:val="0013699F"/>
    <w:rsid w:val="00160F00"/>
    <w:rsid w:val="00167773"/>
    <w:rsid w:val="0017490A"/>
    <w:rsid w:val="00180CB1"/>
    <w:rsid w:val="00187FC1"/>
    <w:rsid w:val="001A2CB3"/>
    <w:rsid w:val="001E10FB"/>
    <w:rsid w:val="001E5246"/>
    <w:rsid w:val="00205A3D"/>
    <w:rsid w:val="00207D6C"/>
    <w:rsid w:val="00213C6C"/>
    <w:rsid w:val="00247427"/>
    <w:rsid w:val="00261075"/>
    <w:rsid w:val="00265296"/>
    <w:rsid w:val="0027042C"/>
    <w:rsid w:val="002C4172"/>
    <w:rsid w:val="002D5A89"/>
    <w:rsid w:val="002E6710"/>
    <w:rsid w:val="002F0A69"/>
    <w:rsid w:val="00302F3F"/>
    <w:rsid w:val="00311AA1"/>
    <w:rsid w:val="00313B67"/>
    <w:rsid w:val="003142ED"/>
    <w:rsid w:val="0031790B"/>
    <w:rsid w:val="00317AF9"/>
    <w:rsid w:val="00323884"/>
    <w:rsid w:val="00324BB9"/>
    <w:rsid w:val="00334493"/>
    <w:rsid w:val="00340FA0"/>
    <w:rsid w:val="00372C6E"/>
    <w:rsid w:val="0037513D"/>
    <w:rsid w:val="00375708"/>
    <w:rsid w:val="00382225"/>
    <w:rsid w:val="00386953"/>
    <w:rsid w:val="003A578B"/>
    <w:rsid w:val="003C2B23"/>
    <w:rsid w:val="003C5DBA"/>
    <w:rsid w:val="003D186F"/>
    <w:rsid w:val="003E75BD"/>
    <w:rsid w:val="00442D35"/>
    <w:rsid w:val="00444468"/>
    <w:rsid w:val="00444893"/>
    <w:rsid w:val="0046109D"/>
    <w:rsid w:val="00462830"/>
    <w:rsid w:val="00463609"/>
    <w:rsid w:val="00480C76"/>
    <w:rsid w:val="00491C97"/>
    <w:rsid w:val="004A40ED"/>
    <w:rsid w:val="004A6030"/>
    <w:rsid w:val="004C01B5"/>
    <w:rsid w:val="004D6D1E"/>
    <w:rsid w:val="004F6164"/>
    <w:rsid w:val="00501961"/>
    <w:rsid w:val="0052289C"/>
    <w:rsid w:val="00522AFF"/>
    <w:rsid w:val="00524A66"/>
    <w:rsid w:val="00526A7C"/>
    <w:rsid w:val="00547079"/>
    <w:rsid w:val="00561A39"/>
    <w:rsid w:val="005A70C0"/>
    <w:rsid w:val="005B6ED7"/>
    <w:rsid w:val="005D7084"/>
    <w:rsid w:val="005E0964"/>
    <w:rsid w:val="005E2D85"/>
    <w:rsid w:val="005F1F27"/>
    <w:rsid w:val="005F432E"/>
    <w:rsid w:val="00633683"/>
    <w:rsid w:val="0064554D"/>
    <w:rsid w:val="00655A61"/>
    <w:rsid w:val="0065760E"/>
    <w:rsid w:val="006657E2"/>
    <w:rsid w:val="00674346"/>
    <w:rsid w:val="006747F0"/>
    <w:rsid w:val="00676EC1"/>
    <w:rsid w:val="00681CC0"/>
    <w:rsid w:val="00690E8C"/>
    <w:rsid w:val="00691EA9"/>
    <w:rsid w:val="00697DF2"/>
    <w:rsid w:val="006A76FB"/>
    <w:rsid w:val="006B3283"/>
    <w:rsid w:val="006D04E1"/>
    <w:rsid w:val="006F7361"/>
    <w:rsid w:val="00704973"/>
    <w:rsid w:val="00714763"/>
    <w:rsid w:val="0071686C"/>
    <w:rsid w:val="007203DB"/>
    <w:rsid w:val="00726FA1"/>
    <w:rsid w:val="007341BA"/>
    <w:rsid w:val="0074652F"/>
    <w:rsid w:val="00761896"/>
    <w:rsid w:val="007665AA"/>
    <w:rsid w:val="007869F3"/>
    <w:rsid w:val="00795CA6"/>
    <w:rsid w:val="007A7E05"/>
    <w:rsid w:val="007A7E45"/>
    <w:rsid w:val="007B1EA2"/>
    <w:rsid w:val="007B2FE3"/>
    <w:rsid w:val="007D1C46"/>
    <w:rsid w:val="007D2E12"/>
    <w:rsid w:val="007D395B"/>
    <w:rsid w:val="007D4430"/>
    <w:rsid w:val="007D6123"/>
    <w:rsid w:val="007E2B6E"/>
    <w:rsid w:val="008173AD"/>
    <w:rsid w:val="00817FBD"/>
    <w:rsid w:val="00830B46"/>
    <w:rsid w:val="00847495"/>
    <w:rsid w:val="008636E2"/>
    <w:rsid w:val="00864414"/>
    <w:rsid w:val="008A7E2A"/>
    <w:rsid w:val="008C05C8"/>
    <w:rsid w:val="008D4E8C"/>
    <w:rsid w:val="008D5592"/>
    <w:rsid w:val="008F5BD1"/>
    <w:rsid w:val="00924ECE"/>
    <w:rsid w:val="009359F2"/>
    <w:rsid w:val="0094382E"/>
    <w:rsid w:val="00951B1A"/>
    <w:rsid w:val="00954FF0"/>
    <w:rsid w:val="00966FE6"/>
    <w:rsid w:val="009771D9"/>
    <w:rsid w:val="00980720"/>
    <w:rsid w:val="00985867"/>
    <w:rsid w:val="009A26A8"/>
    <w:rsid w:val="009B16E9"/>
    <w:rsid w:val="009E250D"/>
    <w:rsid w:val="009E33D3"/>
    <w:rsid w:val="00A021A2"/>
    <w:rsid w:val="00A24493"/>
    <w:rsid w:val="00A320E5"/>
    <w:rsid w:val="00A50FFA"/>
    <w:rsid w:val="00A53006"/>
    <w:rsid w:val="00A62E77"/>
    <w:rsid w:val="00A70582"/>
    <w:rsid w:val="00A729C9"/>
    <w:rsid w:val="00A94C3F"/>
    <w:rsid w:val="00AB5FEA"/>
    <w:rsid w:val="00AB7B4E"/>
    <w:rsid w:val="00AC0167"/>
    <w:rsid w:val="00AC128F"/>
    <w:rsid w:val="00AD2190"/>
    <w:rsid w:val="00AD6B5D"/>
    <w:rsid w:val="00AF6274"/>
    <w:rsid w:val="00AF785D"/>
    <w:rsid w:val="00AF7D13"/>
    <w:rsid w:val="00B15311"/>
    <w:rsid w:val="00B15946"/>
    <w:rsid w:val="00B22582"/>
    <w:rsid w:val="00B239D2"/>
    <w:rsid w:val="00B26EA8"/>
    <w:rsid w:val="00B2737F"/>
    <w:rsid w:val="00B31E2E"/>
    <w:rsid w:val="00B40B1E"/>
    <w:rsid w:val="00B41BF8"/>
    <w:rsid w:val="00B44E13"/>
    <w:rsid w:val="00B47E6F"/>
    <w:rsid w:val="00B83E0E"/>
    <w:rsid w:val="00B924BC"/>
    <w:rsid w:val="00B95D8B"/>
    <w:rsid w:val="00BA487B"/>
    <w:rsid w:val="00BA7BD1"/>
    <w:rsid w:val="00BB642B"/>
    <w:rsid w:val="00BF02E9"/>
    <w:rsid w:val="00BF3F24"/>
    <w:rsid w:val="00C34502"/>
    <w:rsid w:val="00C45AFA"/>
    <w:rsid w:val="00C56A03"/>
    <w:rsid w:val="00C56B1F"/>
    <w:rsid w:val="00C7470A"/>
    <w:rsid w:val="00CC42E6"/>
    <w:rsid w:val="00CC568C"/>
    <w:rsid w:val="00CC58D2"/>
    <w:rsid w:val="00D54855"/>
    <w:rsid w:val="00D61D72"/>
    <w:rsid w:val="00D64569"/>
    <w:rsid w:val="00D656D1"/>
    <w:rsid w:val="00DE2416"/>
    <w:rsid w:val="00DE37AF"/>
    <w:rsid w:val="00DE5409"/>
    <w:rsid w:val="00E42E87"/>
    <w:rsid w:val="00E61D9E"/>
    <w:rsid w:val="00E62EF0"/>
    <w:rsid w:val="00E758A6"/>
    <w:rsid w:val="00E92518"/>
    <w:rsid w:val="00EC0449"/>
    <w:rsid w:val="00EC5F84"/>
    <w:rsid w:val="00ED0E3A"/>
    <w:rsid w:val="00ED128B"/>
    <w:rsid w:val="00F352E6"/>
    <w:rsid w:val="00F43667"/>
    <w:rsid w:val="00F622C3"/>
    <w:rsid w:val="00F67315"/>
    <w:rsid w:val="00F867CB"/>
    <w:rsid w:val="00F91724"/>
    <w:rsid w:val="00F92AEE"/>
    <w:rsid w:val="00FE4B89"/>
    <w:rsid w:val="00FF518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98C038"/>
  <w15:docId w15:val="{FCD1D411-3A70-42AB-85C0-D14E18B8E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5FEA"/>
    <w:pPr>
      <w:overflowPunct w:val="0"/>
      <w:autoSpaceDE w:val="0"/>
      <w:autoSpaceDN w:val="0"/>
      <w:adjustRightInd w:val="0"/>
      <w:spacing w:after="120" w:line="240" w:lineRule="auto"/>
      <w:jc w:val="both"/>
      <w:textAlignment w:val="baseline"/>
    </w:pPr>
    <w:rPr>
      <w:rFonts w:ascii="Times New Roman" w:eastAsia="Times New Roman" w:hAnsi="Times New Roman" w:cs="Times New Roman"/>
      <w:szCs w:val="20"/>
      <w:lang w:val="sl-SI"/>
    </w:rPr>
  </w:style>
  <w:style w:type="paragraph" w:styleId="Naslov1">
    <w:name w:val="heading 1"/>
    <w:basedOn w:val="Normal"/>
    <w:next w:val="Normal"/>
    <w:link w:val="Naslov1Char"/>
    <w:qFormat/>
    <w:rsid w:val="00951B1A"/>
    <w:pPr>
      <w:keepNext/>
      <w:keepLines/>
      <w:pBdr>
        <w:top w:val="single" w:sz="4" w:space="1" w:color="auto"/>
        <w:bottom w:val="single" w:sz="4" w:space="1" w:color="auto"/>
      </w:pBdr>
      <w:shd w:val="clear" w:color="auto" w:fill="E6E6E6"/>
      <w:jc w:val="left"/>
      <w:outlineLvl w:val="0"/>
    </w:pPr>
    <w:rPr>
      <w:b/>
      <w:spacing w:val="20"/>
      <w:sz w:val="32"/>
      <w:szCs w:val="32"/>
    </w:rPr>
  </w:style>
  <w:style w:type="paragraph" w:styleId="Naslov2">
    <w:name w:val="heading 2"/>
    <w:basedOn w:val="Normal"/>
    <w:next w:val="Normal"/>
    <w:link w:val="Naslov2Char"/>
    <w:qFormat/>
    <w:rsid w:val="00E62EF0"/>
    <w:pPr>
      <w:keepNext/>
      <w:keepLines/>
      <w:pBdr>
        <w:top w:val="single" w:sz="4" w:space="1" w:color="auto"/>
        <w:bottom w:val="single" w:sz="4" w:space="1" w:color="auto"/>
      </w:pBdr>
      <w:shd w:val="clear" w:color="auto" w:fill="E6E6E6"/>
      <w:jc w:val="left"/>
      <w:outlineLvl w:val="1"/>
    </w:pPr>
    <w:rPr>
      <w:b/>
      <w:spacing w:val="20"/>
      <w:sz w:val="30"/>
      <w:szCs w:val="30"/>
    </w:rPr>
  </w:style>
  <w:style w:type="paragraph" w:styleId="Naslov3">
    <w:name w:val="heading 3"/>
    <w:basedOn w:val="Normal"/>
    <w:next w:val="Normal"/>
    <w:link w:val="Naslov3Char"/>
    <w:qFormat/>
    <w:rsid w:val="00FE4B89"/>
    <w:pPr>
      <w:keepNext/>
      <w:keepLines/>
      <w:pBdr>
        <w:top w:val="single" w:sz="4" w:space="1" w:color="auto"/>
        <w:bottom w:val="single" w:sz="4" w:space="1" w:color="auto"/>
      </w:pBdr>
      <w:shd w:val="clear" w:color="auto" w:fill="E6E6E6"/>
      <w:overflowPunct/>
      <w:autoSpaceDE/>
      <w:autoSpaceDN/>
      <w:adjustRightInd/>
      <w:spacing w:line="288" w:lineRule="auto"/>
      <w:jc w:val="left"/>
      <w:textAlignment w:val="auto"/>
      <w:outlineLvl w:val="2"/>
    </w:pPr>
    <w:rPr>
      <w:rFonts w:cs="Arial"/>
      <w:b/>
      <w:iCs/>
      <w:spacing w:val="20"/>
      <w:sz w:val="28"/>
      <w:szCs w:val="28"/>
    </w:rPr>
  </w:style>
  <w:style w:type="paragraph" w:styleId="Naslov4">
    <w:name w:val="heading 4"/>
    <w:basedOn w:val="Normal"/>
    <w:next w:val="Normal"/>
    <w:link w:val="Naslov4Char"/>
    <w:qFormat/>
    <w:rsid w:val="00951B1A"/>
    <w:pPr>
      <w:keepNext/>
      <w:keepLines/>
      <w:pBdr>
        <w:top w:val="single" w:sz="4" w:space="1" w:color="auto"/>
        <w:bottom w:val="single" w:sz="4" w:space="1" w:color="auto"/>
      </w:pBdr>
      <w:overflowPunct/>
      <w:autoSpaceDE/>
      <w:autoSpaceDN/>
      <w:adjustRightInd/>
      <w:jc w:val="left"/>
      <w:textAlignment w:val="auto"/>
      <w:outlineLvl w:val="3"/>
    </w:pPr>
    <w:rPr>
      <w:b/>
      <w:bCs/>
      <w:sz w:val="28"/>
      <w:szCs w:val="28"/>
    </w:rPr>
  </w:style>
  <w:style w:type="paragraph" w:styleId="Naslov5">
    <w:name w:val="heading 5"/>
    <w:basedOn w:val="Normal"/>
    <w:next w:val="Normal"/>
    <w:link w:val="Naslov5Char"/>
    <w:qFormat/>
    <w:rsid w:val="00E62EF0"/>
    <w:pPr>
      <w:keepNext/>
      <w:keepLines/>
      <w:jc w:val="left"/>
      <w:outlineLvl w:val="4"/>
    </w:pPr>
    <w:rPr>
      <w:b/>
      <w:sz w:val="26"/>
      <w:szCs w:val="26"/>
    </w:rPr>
  </w:style>
  <w:style w:type="paragraph" w:styleId="Naslov6">
    <w:name w:val="heading 6"/>
    <w:basedOn w:val="Normal"/>
    <w:next w:val="Normal"/>
    <w:link w:val="Naslov6Char"/>
    <w:qFormat/>
    <w:rsid w:val="00E62EF0"/>
    <w:pPr>
      <w:keepNext/>
      <w:keepLines/>
      <w:jc w:val="left"/>
      <w:outlineLvl w:val="5"/>
    </w:pPr>
    <w:rPr>
      <w:b/>
      <w:sz w:val="24"/>
      <w:szCs w:val="24"/>
    </w:rPr>
  </w:style>
  <w:style w:type="paragraph" w:styleId="Naslov7">
    <w:name w:val="heading 7"/>
    <w:basedOn w:val="Normal"/>
    <w:next w:val="Normal"/>
    <w:link w:val="Naslov7Char"/>
    <w:qFormat/>
    <w:rsid w:val="00E62EF0"/>
    <w:pPr>
      <w:keepNext/>
      <w:jc w:val="left"/>
      <w:outlineLvl w:val="6"/>
    </w:pPr>
    <w:rPr>
      <w:b/>
      <w:spacing w:val="24"/>
      <w:szCs w:val="22"/>
    </w:rPr>
  </w:style>
  <w:style w:type="paragraph" w:styleId="Naslov8">
    <w:name w:val="heading 8"/>
    <w:basedOn w:val="Normal6"/>
    <w:next w:val="Normal"/>
    <w:link w:val="Naslov8Char"/>
    <w:uiPriority w:val="9"/>
    <w:unhideWhenUsed/>
    <w:qFormat/>
    <w:rsid w:val="00E62EF0"/>
    <w:pPr>
      <w:keepNext/>
      <w:keepLines/>
      <w:ind w:left="0"/>
      <w:outlineLvl w:val="7"/>
    </w:pPr>
    <w:rPr>
      <w:b/>
    </w:rPr>
  </w:style>
  <w:style w:type="paragraph" w:styleId="Naslov9">
    <w:name w:val="heading 9"/>
    <w:basedOn w:val="Normal"/>
    <w:next w:val="Normal"/>
    <w:link w:val="Naslov9Char"/>
    <w:uiPriority w:val="9"/>
    <w:unhideWhenUsed/>
    <w:qFormat/>
    <w:rsid w:val="00E62EF0"/>
    <w:pPr>
      <w:keepNext/>
      <w:keepLines/>
      <w:outlineLvl w:val="8"/>
    </w:pPr>
    <w:rPr>
      <w:rFonts w:asciiTheme="majorHAnsi" w:eastAsiaTheme="majorEastAsia" w:hAnsiTheme="majorHAnsi" w:cstheme="majorBidi"/>
      <w:i/>
      <w:iCs/>
      <w:color w:val="272727" w:themeColor="text1" w:themeTint="D8"/>
      <w:sz w:val="21"/>
      <w:szCs w:val="2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951B1A"/>
    <w:rPr>
      <w:rFonts w:ascii="Times New Roman" w:eastAsia="Times New Roman" w:hAnsi="Times New Roman" w:cs="Times New Roman"/>
      <w:b/>
      <w:spacing w:val="20"/>
      <w:sz w:val="32"/>
      <w:szCs w:val="32"/>
      <w:shd w:val="clear" w:color="auto" w:fill="E6E6E6"/>
      <w:lang w:val="sl-SI"/>
    </w:rPr>
  </w:style>
  <w:style w:type="character" w:customStyle="1" w:styleId="Naslov2Char">
    <w:name w:val="Naslov 2 Char"/>
    <w:basedOn w:val="Zadanifontodlomka"/>
    <w:link w:val="Naslov2"/>
    <w:rsid w:val="00E62EF0"/>
    <w:rPr>
      <w:rFonts w:ascii="Times New Roman" w:eastAsia="Times New Roman" w:hAnsi="Times New Roman" w:cs="Times New Roman"/>
      <w:b/>
      <w:spacing w:val="20"/>
      <w:sz w:val="30"/>
      <w:szCs w:val="30"/>
      <w:shd w:val="clear" w:color="auto" w:fill="E6E6E6"/>
      <w:lang w:val="sl-SI"/>
    </w:rPr>
  </w:style>
  <w:style w:type="character" w:customStyle="1" w:styleId="Naslov3Char">
    <w:name w:val="Naslov 3 Char"/>
    <w:basedOn w:val="Zadanifontodlomka"/>
    <w:link w:val="Naslov3"/>
    <w:rsid w:val="00FE4B89"/>
    <w:rPr>
      <w:rFonts w:ascii="Times New Roman" w:eastAsia="Times New Roman" w:hAnsi="Times New Roman" w:cs="Arial"/>
      <w:b/>
      <w:iCs/>
      <w:spacing w:val="20"/>
      <w:sz w:val="28"/>
      <w:szCs w:val="28"/>
      <w:shd w:val="clear" w:color="auto" w:fill="E6E6E6"/>
      <w:lang w:val="sl-SI"/>
    </w:rPr>
  </w:style>
  <w:style w:type="character" w:customStyle="1" w:styleId="Naslov4Char">
    <w:name w:val="Naslov 4 Char"/>
    <w:basedOn w:val="Zadanifontodlomka"/>
    <w:link w:val="Naslov4"/>
    <w:rsid w:val="00951B1A"/>
    <w:rPr>
      <w:rFonts w:ascii="Times New Roman" w:eastAsia="Times New Roman" w:hAnsi="Times New Roman" w:cs="Times New Roman"/>
      <w:b/>
      <w:bCs/>
      <w:sz w:val="28"/>
      <w:szCs w:val="28"/>
      <w:lang w:val="sl-SI"/>
    </w:rPr>
  </w:style>
  <w:style w:type="character" w:customStyle="1" w:styleId="Naslov5Char">
    <w:name w:val="Naslov 5 Char"/>
    <w:basedOn w:val="Zadanifontodlomka"/>
    <w:link w:val="Naslov5"/>
    <w:rsid w:val="00E62EF0"/>
    <w:rPr>
      <w:rFonts w:ascii="Times New Roman" w:eastAsia="Times New Roman" w:hAnsi="Times New Roman" w:cs="Times New Roman"/>
      <w:b/>
      <w:sz w:val="26"/>
      <w:szCs w:val="26"/>
      <w:lang w:val="sl-SI"/>
    </w:rPr>
  </w:style>
  <w:style w:type="character" w:customStyle="1" w:styleId="Naslov6Char">
    <w:name w:val="Naslov 6 Char"/>
    <w:basedOn w:val="Zadanifontodlomka"/>
    <w:link w:val="Naslov6"/>
    <w:rsid w:val="00E62EF0"/>
    <w:rPr>
      <w:rFonts w:ascii="Times New Roman" w:eastAsia="Times New Roman" w:hAnsi="Times New Roman" w:cs="Times New Roman"/>
      <w:b/>
      <w:sz w:val="24"/>
      <w:szCs w:val="24"/>
      <w:lang w:val="sl-SI"/>
    </w:rPr>
  </w:style>
  <w:style w:type="character" w:customStyle="1" w:styleId="Naslov7Char">
    <w:name w:val="Naslov 7 Char"/>
    <w:basedOn w:val="Zadanifontodlomka"/>
    <w:link w:val="Naslov7"/>
    <w:rsid w:val="00E62EF0"/>
    <w:rPr>
      <w:rFonts w:ascii="Times New Roman" w:eastAsia="Times New Roman" w:hAnsi="Times New Roman" w:cs="Times New Roman"/>
      <w:b/>
      <w:spacing w:val="24"/>
      <w:lang w:val="sl-SI"/>
    </w:rPr>
  </w:style>
  <w:style w:type="paragraph" w:customStyle="1" w:styleId="KAZALO">
    <w:name w:val="KAZALO"/>
    <w:basedOn w:val="Normal"/>
    <w:rsid w:val="00480C76"/>
    <w:pPr>
      <w:keepNext/>
      <w:spacing w:after="240"/>
      <w:jc w:val="center"/>
    </w:pPr>
    <w:rPr>
      <w:b/>
      <w:bCs/>
      <w:sz w:val="32"/>
      <w:szCs w:val="32"/>
    </w:rPr>
  </w:style>
  <w:style w:type="paragraph" w:styleId="Zaglavlje">
    <w:name w:val="header"/>
    <w:basedOn w:val="Normal"/>
    <w:link w:val="ZaglavljeChar"/>
    <w:semiHidden/>
    <w:rsid w:val="00480C76"/>
    <w:pPr>
      <w:pBdr>
        <w:bottom w:val="single" w:sz="4" w:space="1" w:color="auto"/>
      </w:pBdr>
      <w:tabs>
        <w:tab w:val="center" w:pos="4536"/>
        <w:tab w:val="right" w:pos="9072"/>
      </w:tabs>
    </w:pPr>
    <w:rPr>
      <w:sz w:val="16"/>
    </w:rPr>
  </w:style>
  <w:style w:type="character" w:customStyle="1" w:styleId="ZaglavljeChar">
    <w:name w:val="Zaglavlje Char"/>
    <w:basedOn w:val="Zadanifontodlomka"/>
    <w:link w:val="Zaglavlje"/>
    <w:semiHidden/>
    <w:rsid w:val="00480C76"/>
    <w:rPr>
      <w:rFonts w:ascii="Times New Roman" w:eastAsia="Times New Roman" w:hAnsi="Times New Roman" w:cs="Times New Roman"/>
      <w:sz w:val="16"/>
      <w:szCs w:val="20"/>
      <w:lang w:val="sl-SI"/>
    </w:rPr>
  </w:style>
  <w:style w:type="paragraph" w:styleId="Podnoje">
    <w:name w:val="footer"/>
    <w:basedOn w:val="Normal"/>
    <w:link w:val="PodnojeChar"/>
    <w:uiPriority w:val="99"/>
    <w:rsid w:val="00480C76"/>
    <w:pPr>
      <w:pBdr>
        <w:top w:val="single" w:sz="4" w:space="1" w:color="auto"/>
      </w:pBdr>
      <w:tabs>
        <w:tab w:val="right" w:pos="9540"/>
      </w:tabs>
      <w:ind w:right="-21"/>
      <w:jc w:val="left"/>
    </w:pPr>
    <w:rPr>
      <w:sz w:val="20"/>
    </w:rPr>
  </w:style>
  <w:style w:type="character" w:customStyle="1" w:styleId="PodnojeChar">
    <w:name w:val="Podnožje Char"/>
    <w:basedOn w:val="Zadanifontodlomka"/>
    <w:link w:val="Podnoje"/>
    <w:uiPriority w:val="99"/>
    <w:rsid w:val="00480C76"/>
    <w:rPr>
      <w:rFonts w:ascii="Times New Roman" w:eastAsia="Times New Roman" w:hAnsi="Times New Roman" w:cs="Times New Roman"/>
      <w:sz w:val="20"/>
      <w:szCs w:val="20"/>
      <w:lang w:val="sl-SI"/>
    </w:rPr>
  </w:style>
  <w:style w:type="character" w:styleId="Brojstranice">
    <w:name w:val="page number"/>
    <w:basedOn w:val="Zadanifontodlomka"/>
    <w:semiHidden/>
    <w:rsid w:val="00480C76"/>
  </w:style>
  <w:style w:type="paragraph" w:customStyle="1" w:styleId="Normal3">
    <w:name w:val="Normal 3"/>
    <w:basedOn w:val="Normal"/>
    <w:link w:val="Normal3Char"/>
    <w:rsid w:val="00480C76"/>
    <w:pPr>
      <w:ind w:left="360"/>
    </w:pPr>
  </w:style>
  <w:style w:type="paragraph" w:customStyle="1" w:styleId="Normal4">
    <w:name w:val="Normal 4"/>
    <w:basedOn w:val="Normal"/>
    <w:link w:val="Normal4Char"/>
    <w:rsid w:val="00480C76"/>
    <w:pPr>
      <w:ind w:left="540"/>
    </w:pPr>
  </w:style>
  <w:style w:type="paragraph" w:customStyle="1" w:styleId="Normal5">
    <w:name w:val="Normal 5"/>
    <w:basedOn w:val="Normal"/>
    <w:link w:val="Normal5Char"/>
    <w:rsid w:val="00480C76"/>
    <w:pPr>
      <w:ind w:left="720"/>
    </w:pPr>
  </w:style>
  <w:style w:type="paragraph" w:customStyle="1" w:styleId="Normal6">
    <w:name w:val="Normal 6"/>
    <w:basedOn w:val="Normal"/>
    <w:link w:val="Normal6Char"/>
    <w:rsid w:val="00480C76"/>
    <w:pPr>
      <w:ind w:left="1080"/>
    </w:pPr>
  </w:style>
  <w:style w:type="character" w:customStyle="1" w:styleId="Normal3Char">
    <w:name w:val="Normal 3 Char"/>
    <w:basedOn w:val="Zadanifontodlomka"/>
    <w:link w:val="Normal3"/>
    <w:rsid w:val="00480C76"/>
    <w:rPr>
      <w:rFonts w:ascii="Times New Roman" w:eastAsia="Times New Roman" w:hAnsi="Times New Roman" w:cs="Times New Roman"/>
      <w:szCs w:val="20"/>
      <w:lang w:val="sl-SI"/>
    </w:rPr>
  </w:style>
  <w:style w:type="character" w:customStyle="1" w:styleId="Normal5Char">
    <w:name w:val="Normal 5 Char"/>
    <w:basedOn w:val="Zadanifontodlomka"/>
    <w:link w:val="Normal5"/>
    <w:rsid w:val="00480C76"/>
    <w:rPr>
      <w:rFonts w:ascii="Times New Roman" w:eastAsia="Times New Roman" w:hAnsi="Times New Roman" w:cs="Times New Roman"/>
      <w:szCs w:val="20"/>
      <w:lang w:val="sl-SI"/>
    </w:rPr>
  </w:style>
  <w:style w:type="character" w:customStyle="1" w:styleId="Normal4Char">
    <w:name w:val="Normal 4 Char"/>
    <w:basedOn w:val="Zadanifontodlomka"/>
    <w:link w:val="Normal4"/>
    <w:rsid w:val="00480C76"/>
    <w:rPr>
      <w:rFonts w:ascii="Times New Roman" w:eastAsia="Times New Roman" w:hAnsi="Times New Roman" w:cs="Times New Roman"/>
      <w:szCs w:val="20"/>
      <w:lang w:val="sl-SI"/>
    </w:rPr>
  </w:style>
  <w:style w:type="character" w:styleId="Istaknuto">
    <w:name w:val="Emphasis"/>
    <w:basedOn w:val="Zadanifontodlomka"/>
    <w:qFormat/>
    <w:rsid w:val="00480C76"/>
    <w:rPr>
      <w:b/>
      <w:bCs/>
      <w:i w:val="0"/>
      <w:iCs w:val="0"/>
    </w:rPr>
  </w:style>
  <w:style w:type="character" w:styleId="Naglaeno">
    <w:name w:val="Strong"/>
    <w:basedOn w:val="Zadanifontodlomka"/>
    <w:qFormat/>
    <w:rsid w:val="00480C76"/>
    <w:rPr>
      <w:b/>
      <w:bCs/>
    </w:rPr>
  </w:style>
  <w:style w:type="character" w:styleId="Hiperveza">
    <w:name w:val="Hyperlink"/>
    <w:basedOn w:val="Zadanifontodlomka"/>
    <w:rsid w:val="00480C76"/>
    <w:rPr>
      <w:color w:val="0000FF"/>
      <w:u w:val="single"/>
    </w:rPr>
  </w:style>
  <w:style w:type="table" w:styleId="Reetkatablice">
    <w:name w:val="Table Grid"/>
    <w:basedOn w:val="Obinatablica"/>
    <w:uiPriority w:val="39"/>
    <w:rsid w:val="00480C76"/>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6Char">
    <w:name w:val="Normal 6 Char"/>
    <w:basedOn w:val="Zadanifontodlomka"/>
    <w:link w:val="Normal6"/>
    <w:rsid w:val="00480C76"/>
    <w:rPr>
      <w:rFonts w:ascii="Times New Roman" w:eastAsia="Times New Roman" w:hAnsi="Times New Roman" w:cs="Times New Roman"/>
      <w:szCs w:val="20"/>
      <w:lang w:val="sl-SI"/>
    </w:rPr>
  </w:style>
  <w:style w:type="paragraph" w:customStyle="1" w:styleId="CellHeader">
    <w:name w:val="CellHeader"/>
    <w:basedOn w:val="Normal"/>
    <w:qFormat/>
    <w:rsid w:val="00BB642B"/>
    <w:rPr>
      <w:rFonts w:cs="Arial"/>
      <w:bCs/>
      <w:sz w:val="20"/>
      <w:szCs w:val="22"/>
      <w:lang w:eastAsia="hr-HR"/>
    </w:rPr>
  </w:style>
  <w:style w:type="paragraph" w:customStyle="1" w:styleId="CellColumn">
    <w:name w:val="CellColumn"/>
    <w:basedOn w:val="CellHeader"/>
    <w:qFormat/>
    <w:rsid w:val="00BB642B"/>
  </w:style>
  <w:style w:type="character" w:customStyle="1" w:styleId="Naslov8Char">
    <w:name w:val="Naslov 8 Char"/>
    <w:basedOn w:val="Zadanifontodlomka"/>
    <w:link w:val="Naslov8"/>
    <w:uiPriority w:val="9"/>
    <w:rsid w:val="00E62EF0"/>
    <w:rPr>
      <w:rFonts w:ascii="Times New Roman" w:eastAsia="Times New Roman" w:hAnsi="Times New Roman" w:cs="Times New Roman"/>
      <w:b/>
      <w:szCs w:val="20"/>
      <w:lang w:val="sl-SI"/>
    </w:rPr>
  </w:style>
  <w:style w:type="character" w:customStyle="1" w:styleId="Naslov9Char">
    <w:name w:val="Naslov 9 Char"/>
    <w:basedOn w:val="Zadanifontodlomka"/>
    <w:link w:val="Naslov9"/>
    <w:uiPriority w:val="9"/>
    <w:rsid w:val="00E62EF0"/>
    <w:rPr>
      <w:rFonts w:asciiTheme="majorHAnsi" w:eastAsiaTheme="majorEastAsia" w:hAnsiTheme="majorHAnsi" w:cstheme="majorBidi"/>
      <w:i/>
      <w:iCs/>
      <w:color w:val="272727" w:themeColor="text1" w:themeTint="D8"/>
      <w:sz w:val="21"/>
      <w:szCs w:val="21"/>
      <w:lang w:val="sl-SI"/>
    </w:rPr>
  </w:style>
  <w:style w:type="table" w:customStyle="1" w:styleId="Style1">
    <w:name w:val="Style1"/>
    <w:basedOn w:val="Obinatablica"/>
    <w:uiPriority w:val="99"/>
    <w:rsid w:val="007A7E45"/>
    <w:pPr>
      <w:keepLines/>
      <w:spacing w:after="0" w:line="240" w:lineRule="auto"/>
      <w:jc w:val="center"/>
    </w:pPr>
    <w:rPr>
      <w:rFonts w:ascii="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rPr>
      <w:cantSplit/>
    </w:trPr>
    <w:tcPr>
      <w:vAlign w:val="center"/>
    </w:tcPr>
    <w:tblStylePr w:type="firstRow">
      <w:pPr>
        <w:jc w:val="center"/>
      </w:pPr>
      <w:rPr>
        <w:rFonts w:ascii="Times New Roman" w:hAnsi="Times New Roman"/>
        <w:sz w:val="20"/>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style>
  <w:style w:type="table" w:customStyle="1" w:styleId="StilTablice">
    <w:name w:val="StilTablice"/>
    <w:basedOn w:val="Obinatablica"/>
    <w:uiPriority w:val="99"/>
    <w:rsid w:val="00ED0E3A"/>
    <w:pPr>
      <w:spacing w:after="120" w:line="240" w:lineRule="auto"/>
      <w:jc w:val="center"/>
    </w:pPr>
    <w:rPr>
      <w:rFonts w:ascii="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rPr>
      <w:cantSplit/>
    </w:trPr>
    <w:tcPr>
      <w:vAlign w:val="center"/>
    </w:tcPr>
  </w:style>
  <w:style w:type="paragraph" w:customStyle="1" w:styleId="NormalSpecial">
    <w:name w:val="NormalSpecial"/>
    <w:basedOn w:val="Normal"/>
    <w:next w:val="Normal"/>
    <w:qFormat/>
    <w:rsid w:val="0027042C"/>
    <w:pPr>
      <w:keepNext/>
      <w:spacing w:after="0"/>
    </w:pPr>
    <w:rPr>
      <w:sz w:val="20"/>
    </w:rPr>
  </w:style>
  <w:style w:type="character" w:styleId="Referencakomentara">
    <w:name w:val="annotation reference"/>
    <w:basedOn w:val="Zadanifontodlomka"/>
    <w:uiPriority w:val="99"/>
    <w:semiHidden/>
    <w:unhideWhenUsed/>
    <w:rsid w:val="00261075"/>
    <w:rPr>
      <w:sz w:val="16"/>
      <w:szCs w:val="16"/>
    </w:rPr>
  </w:style>
  <w:style w:type="paragraph" w:styleId="Tekstkomentara">
    <w:name w:val="annotation text"/>
    <w:basedOn w:val="Normal"/>
    <w:link w:val="TekstkomentaraChar"/>
    <w:uiPriority w:val="99"/>
    <w:semiHidden/>
    <w:unhideWhenUsed/>
    <w:rsid w:val="00261075"/>
    <w:rPr>
      <w:sz w:val="20"/>
    </w:rPr>
  </w:style>
  <w:style w:type="character" w:customStyle="1" w:styleId="TekstkomentaraChar">
    <w:name w:val="Tekst komentara Char"/>
    <w:basedOn w:val="Zadanifontodlomka"/>
    <w:link w:val="Tekstkomentara"/>
    <w:uiPriority w:val="99"/>
    <w:semiHidden/>
    <w:rsid w:val="00261075"/>
    <w:rPr>
      <w:rFonts w:ascii="Times New Roman" w:eastAsia="Times New Roman" w:hAnsi="Times New Roman" w:cs="Times New Roman"/>
      <w:sz w:val="20"/>
      <w:szCs w:val="20"/>
      <w:lang w:val="sl-SI"/>
    </w:rPr>
  </w:style>
  <w:style w:type="paragraph" w:styleId="Predmetkomentara">
    <w:name w:val="annotation subject"/>
    <w:basedOn w:val="Tekstkomentara"/>
    <w:next w:val="Tekstkomentara"/>
    <w:link w:val="PredmetkomentaraChar"/>
    <w:uiPriority w:val="99"/>
    <w:semiHidden/>
    <w:unhideWhenUsed/>
    <w:rsid w:val="00261075"/>
    <w:rPr>
      <w:b/>
      <w:bCs/>
    </w:rPr>
  </w:style>
  <w:style w:type="character" w:customStyle="1" w:styleId="PredmetkomentaraChar">
    <w:name w:val="Predmet komentara Char"/>
    <w:basedOn w:val="TekstkomentaraChar"/>
    <w:link w:val="Predmetkomentara"/>
    <w:uiPriority w:val="99"/>
    <w:semiHidden/>
    <w:rsid w:val="00261075"/>
    <w:rPr>
      <w:rFonts w:ascii="Times New Roman" w:eastAsia="Times New Roman" w:hAnsi="Times New Roman" w:cs="Times New Roman"/>
      <w:b/>
      <w:bCs/>
      <w:sz w:val="20"/>
      <w:szCs w:val="20"/>
      <w:lang w:val="sl-SI"/>
    </w:rPr>
  </w:style>
  <w:style w:type="paragraph" w:styleId="Tekstbalonia">
    <w:name w:val="Balloon Text"/>
    <w:basedOn w:val="Normal"/>
    <w:link w:val="TekstbaloniaChar"/>
    <w:uiPriority w:val="99"/>
    <w:semiHidden/>
    <w:unhideWhenUsed/>
    <w:rsid w:val="00261075"/>
    <w:pPr>
      <w:spacing w:after="0"/>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261075"/>
    <w:rPr>
      <w:rFonts w:ascii="Segoe UI" w:eastAsia="Times New Roman" w:hAnsi="Segoe UI" w:cs="Segoe UI"/>
      <w:sz w:val="18"/>
      <w:szCs w:val="18"/>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467D0A-3555-462F-8641-17C5C0F9F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4</Pages>
  <Words>1108</Words>
  <Characters>6321</Characters>
  <Application>Microsoft Office Word</Application>
  <DocSecurity>0</DocSecurity>
  <Lines>52</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Marasović</dc:creator>
  <cp:lastModifiedBy>Mihaela Čuljak</cp:lastModifiedBy>
  <cp:revision>13</cp:revision>
  <cp:lastPrinted>2023-01-10T09:32:00Z</cp:lastPrinted>
  <dcterms:created xsi:type="dcterms:W3CDTF">2022-10-14T10:49:00Z</dcterms:created>
  <dcterms:modified xsi:type="dcterms:W3CDTF">2023-12-28T14:58:00Z</dcterms:modified>
</cp:coreProperties>
</file>