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1F" w:rsidRPr="00002C89" w:rsidRDefault="0050221F" w:rsidP="0050221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2C8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09819EFA" wp14:editId="4CBC9949">
            <wp:simplePos x="0" y="0"/>
            <wp:positionH relativeFrom="column">
              <wp:posOffset>1100455</wp:posOffset>
            </wp:positionH>
            <wp:positionV relativeFrom="paragraph">
              <wp:posOffset>-4445</wp:posOffset>
            </wp:positionV>
            <wp:extent cx="491490" cy="628015"/>
            <wp:effectExtent l="0" t="0" r="3810" b="635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C89">
        <w:rPr>
          <w:rFonts w:ascii="Arial" w:hAnsi="Arial" w:cs="Arial"/>
          <w:sz w:val="24"/>
          <w:szCs w:val="24"/>
        </w:rPr>
        <w:t xml:space="preserve">               </w:t>
      </w:r>
    </w:p>
    <w:p w:rsidR="0050221F" w:rsidRPr="00002C89" w:rsidRDefault="0050221F" w:rsidP="0050221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0221F" w:rsidRPr="00002C89" w:rsidRDefault="0050221F" w:rsidP="0050221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0221F" w:rsidRPr="00002C89" w:rsidRDefault="0050221F" w:rsidP="0050221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0221F" w:rsidRPr="00002C89" w:rsidRDefault="0050221F" w:rsidP="0050221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02C89">
        <w:rPr>
          <w:rFonts w:ascii="Arial" w:hAnsi="Arial" w:cs="Arial"/>
          <w:sz w:val="24"/>
          <w:szCs w:val="24"/>
        </w:rPr>
        <w:t xml:space="preserve">             REPUBLIKA HRVATSKA</w:t>
      </w:r>
    </w:p>
    <w:p w:rsidR="0050221F" w:rsidRPr="00002C89" w:rsidRDefault="00002C89" w:rsidP="0050221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50221F" w:rsidRPr="00002C89">
        <w:rPr>
          <w:rFonts w:ascii="Arial" w:hAnsi="Arial" w:cs="Arial"/>
          <w:sz w:val="24"/>
          <w:szCs w:val="24"/>
        </w:rPr>
        <w:t xml:space="preserve"> DRŽAVNO ODVJETNIŠTVO</w:t>
      </w:r>
    </w:p>
    <w:p w:rsidR="0050221F" w:rsidRPr="00002C89" w:rsidRDefault="0050221F" w:rsidP="0050221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02C89">
        <w:rPr>
          <w:rFonts w:ascii="Arial" w:hAnsi="Arial" w:cs="Arial"/>
          <w:sz w:val="24"/>
          <w:szCs w:val="24"/>
        </w:rPr>
        <w:t xml:space="preserve">                      U ŠIBENIKU</w:t>
      </w:r>
    </w:p>
    <w:p w:rsidR="0050221F" w:rsidRPr="00002C89" w:rsidRDefault="0050221F" w:rsidP="0050221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02C89">
        <w:rPr>
          <w:rFonts w:ascii="Arial" w:hAnsi="Arial" w:cs="Arial"/>
          <w:sz w:val="24"/>
          <w:szCs w:val="24"/>
        </w:rPr>
        <w:t xml:space="preserve">           Šibenik, Stjepana Radića 81</w:t>
      </w:r>
    </w:p>
    <w:p w:rsidR="0050221F" w:rsidRPr="00002C89" w:rsidRDefault="0050221F" w:rsidP="0050221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369AF" w:rsidRPr="00E369AF" w:rsidRDefault="00E369AF" w:rsidP="00E369AF">
      <w:pPr>
        <w:pStyle w:val="Bezproreda"/>
        <w:rPr>
          <w:rFonts w:ascii="Arial" w:hAnsi="Arial" w:cs="Arial"/>
          <w:sz w:val="24"/>
          <w:szCs w:val="24"/>
        </w:rPr>
      </w:pPr>
      <w:r w:rsidRPr="004914FE">
        <w:rPr>
          <w:rFonts w:ascii="Arial" w:hAnsi="Arial" w:cs="Arial"/>
          <w:sz w:val="24"/>
          <w:szCs w:val="24"/>
        </w:rPr>
        <w:t>Broj: P-12/2023</w:t>
      </w:r>
    </w:p>
    <w:p w:rsidR="00E369AF" w:rsidRPr="00E369AF" w:rsidRDefault="00ED24EC" w:rsidP="00E369A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Šibenik, 10</w:t>
      </w:r>
      <w:r w:rsidR="00E369AF" w:rsidRPr="00E369AF">
        <w:rPr>
          <w:rFonts w:ascii="Arial" w:hAnsi="Arial" w:cs="Arial"/>
          <w:sz w:val="24"/>
          <w:szCs w:val="24"/>
        </w:rPr>
        <w:t xml:space="preserve">. </w:t>
      </w:r>
      <w:r w:rsidR="00EB3174">
        <w:rPr>
          <w:rFonts w:ascii="Arial" w:hAnsi="Arial" w:cs="Arial"/>
          <w:sz w:val="24"/>
          <w:szCs w:val="24"/>
        </w:rPr>
        <w:t>lipnja</w:t>
      </w:r>
      <w:r w:rsidR="00E369AF" w:rsidRPr="00E369AF">
        <w:rPr>
          <w:rFonts w:ascii="Arial" w:hAnsi="Arial" w:cs="Arial"/>
          <w:sz w:val="24"/>
          <w:szCs w:val="24"/>
        </w:rPr>
        <w:t xml:space="preserve"> 202</w:t>
      </w:r>
      <w:r w:rsidR="00E369AF">
        <w:rPr>
          <w:rFonts w:ascii="Arial" w:hAnsi="Arial" w:cs="Arial"/>
          <w:sz w:val="24"/>
          <w:szCs w:val="24"/>
        </w:rPr>
        <w:t>4</w:t>
      </w:r>
      <w:r w:rsidR="00E369AF" w:rsidRPr="00E369AF">
        <w:rPr>
          <w:rFonts w:ascii="Arial" w:hAnsi="Arial" w:cs="Arial"/>
          <w:sz w:val="24"/>
          <w:szCs w:val="24"/>
        </w:rPr>
        <w:t>.</w:t>
      </w:r>
    </w:p>
    <w:p w:rsidR="00E369AF" w:rsidRDefault="00DD7DC1" w:rsidP="00055DF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MB/MB</w:t>
      </w:r>
    </w:p>
    <w:p w:rsidR="00DD7DC1" w:rsidRPr="00055DF6" w:rsidRDefault="00DD7DC1" w:rsidP="00055DF6">
      <w:pPr>
        <w:pStyle w:val="Bezproreda"/>
        <w:rPr>
          <w:rFonts w:ascii="Arial" w:hAnsi="Arial" w:cs="Arial"/>
          <w:sz w:val="24"/>
          <w:szCs w:val="24"/>
        </w:rPr>
      </w:pPr>
    </w:p>
    <w:p w:rsidR="00055DF6" w:rsidRPr="00055DF6" w:rsidRDefault="00EB3174" w:rsidP="00AB75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</w:t>
      </w:r>
      <w:r w:rsidR="00055DF6" w:rsidRPr="00055DF6">
        <w:rPr>
          <w:rFonts w:ascii="Arial" w:hAnsi="Arial" w:cs="Arial"/>
          <w:sz w:val="24"/>
          <w:szCs w:val="24"/>
        </w:rPr>
        <w:t xml:space="preserve"> članka 4. Uredbe o raspisivanju i provedbi javnog natječaja i internog oglasa u državnoj službi (Narodne novine, broj 78/17 i 89/19, dalje u tekstu: Uredba), </w:t>
      </w:r>
      <w:r>
        <w:rPr>
          <w:rFonts w:ascii="Arial" w:hAnsi="Arial" w:cs="Arial"/>
          <w:sz w:val="24"/>
          <w:szCs w:val="24"/>
        </w:rPr>
        <w:t>a sukladno javno</w:t>
      </w:r>
      <w:r w:rsidR="00ED24EC">
        <w:rPr>
          <w:rFonts w:ascii="Arial" w:hAnsi="Arial" w:cs="Arial"/>
          <w:sz w:val="24"/>
          <w:szCs w:val="24"/>
        </w:rPr>
        <w:t>m natječaju od 10</w:t>
      </w:r>
      <w:r w:rsidR="002F37C6">
        <w:rPr>
          <w:rFonts w:ascii="Arial" w:hAnsi="Arial" w:cs="Arial"/>
          <w:sz w:val="24"/>
          <w:szCs w:val="24"/>
        </w:rPr>
        <w:t>.</w:t>
      </w:r>
      <w:r w:rsidR="00206E6F">
        <w:rPr>
          <w:rFonts w:ascii="Arial" w:hAnsi="Arial" w:cs="Arial"/>
          <w:sz w:val="24"/>
          <w:szCs w:val="24"/>
        </w:rPr>
        <w:t xml:space="preserve"> lipnja 2024.</w:t>
      </w:r>
      <w:r>
        <w:rPr>
          <w:rFonts w:ascii="Arial" w:hAnsi="Arial" w:cs="Arial"/>
          <w:sz w:val="24"/>
          <w:szCs w:val="24"/>
        </w:rPr>
        <w:t xml:space="preserve"> </w:t>
      </w:r>
      <w:r w:rsidR="00055DF6" w:rsidRPr="00EB3174">
        <w:rPr>
          <w:rFonts w:ascii="Arial" w:hAnsi="Arial" w:cs="Arial"/>
          <w:sz w:val="24"/>
          <w:szCs w:val="24"/>
        </w:rPr>
        <w:t xml:space="preserve">za prijam </w:t>
      </w:r>
      <w:r w:rsidR="00206E6F">
        <w:rPr>
          <w:rFonts w:ascii="Arial" w:hAnsi="Arial" w:cs="Arial"/>
          <w:sz w:val="24"/>
          <w:szCs w:val="24"/>
        </w:rPr>
        <w:t xml:space="preserve">službenika </w:t>
      </w:r>
      <w:r w:rsidR="00055DF6" w:rsidRPr="00EB3174">
        <w:rPr>
          <w:rFonts w:ascii="Arial" w:hAnsi="Arial" w:cs="Arial"/>
          <w:sz w:val="24"/>
          <w:szCs w:val="24"/>
        </w:rPr>
        <w:t>u državnu službu na neodređeno vrijeme u Općinsko državno odvjetništvo u Šibeniku na radno mjesto informatički tehničar - 1 izvršitelj/ica, objavljuje se</w:t>
      </w:r>
      <w:r>
        <w:rPr>
          <w:rFonts w:ascii="Arial" w:hAnsi="Arial" w:cs="Arial"/>
          <w:sz w:val="24"/>
          <w:szCs w:val="24"/>
        </w:rPr>
        <w:t xml:space="preserve"> sljedeća</w:t>
      </w:r>
    </w:p>
    <w:p w:rsidR="00055DF6" w:rsidRDefault="00055DF6" w:rsidP="00055D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6B8A" w:rsidRPr="00055DF6" w:rsidRDefault="00766B8A" w:rsidP="00055D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5DF6" w:rsidRPr="00055DF6" w:rsidRDefault="00055DF6" w:rsidP="00055DF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55DF6">
        <w:rPr>
          <w:rFonts w:ascii="Arial" w:hAnsi="Arial" w:cs="Arial"/>
          <w:sz w:val="24"/>
          <w:szCs w:val="24"/>
        </w:rPr>
        <w:t>OBAVIJEST</w:t>
      </w:r>
    </w:p>
    <w:p w:rsidR="00055DF6" w:rsidRDefault="00055DF6" w:rsidP="00055DF6">
      <w:pPr>
        <w:pStyle w:val="Bezproreda"/>
        <w:rPr>
          <w:rFonts w:ascii="Arial" w:hAnsi="Arial" w:cs="Arial"/>
          <w:sz w:val="24"/>
          <w:szCs w:val="24"/>
        </w:rPr>
      </w:pPr>
    </w:p>
    <w:p w:rsidR="00766B8A" w:rsidRPr="00055DF6" w:rsidRDefault="00766B8A" w:rsidP="00055DF6">
      <w:pPr>
        <w:pStyle w:val="Bezproreda"/>
        <w:rPr>
          <w:rFonts w:ascii="Arial" w:hAnsi="Arial" w:cs="Arial"/>
          <w:sz w:val="24"/>
          <w:szCs w:val="24"/>
        </w:rPr>
      </w:pPr>
    </w:p>
    <w:p w:rsidR="00055DF6" w:rsidRDefault="004914FE" w:rsidP="004914FE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POSLOVA RADNOG MJESTA INFORMATIČKOG TEHNIČARA</w:t>
      </w:r>
    </w:p>
    <w:p w:rsidR="004914FE" w:rsidRPr="00055DF6" w:rsidRDefault="004914FE" w:rsidP="004914F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766B8A" w:rsidRPr="00766B8A" w:rsidRDefault="00206E6F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Informatički tehničar o</w:t>
      </w:r>
      <w:r w:rsidR="00766B8A" w:rsidRPr="00766B8A">
        <w:rPr>
          <w:rFonts w:ascii="Arial" w:hAnsi="Arial" w:cs="Arial"/>
          <w:sz w:val="24"/>
          <w:szCs w:val="24"/>
        </w:rPr>
        <w:t>bavlja upisivanje podataka u računalne baze podataka, obavlja upis i jednostavnu obradu i razmjenu elektroničkih (digitalnih) dokumenata, obavlja poslove snimanja, organizira čuvanje elektroničkih (digitalnih) dokumenata, održava računalne sustave i mreže te njihovo upravljanje, izrađuje jednostavnija programska rješenja, pruža tehničku pomoć korisnicima informatičkih resursa, obavlja poslove pripreme, kontrole i distribucije dokumentacije za djelovanje informatičkog sustava, kao stručna osoba rukuje opremom za audio-video snimanje te obavlja i druge tehničke i stručne poslove u skladu s Poslovnikom državnog odvjetništva i po nalogu općinskog državnog odvjetnika.</w:t>
      </w:r>
    </w:p>
    <w:p w:rsidR="00206E6F" w:rsidRPr="00055DF6" w:rsidRDefault="00206E6F" w:rsidP="00055D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5DF6" w:rsidRPr="00055DF6" w:rsidRDefault="004914FE" w:rsidP="004914FE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PLAĆI</w:t>
      </w:r>
    </w:p>
    <w:p w:rsidR="00055DF6" w:rsidRPr="00055DF6" w:rsidRDefault="00055DF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F5C04" w:rsidRPr="003F5C04" w:rsidRDefault="00206E6F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Temeljem odredbe članka 11. Zakona o plaćama u državnoj službi i javnim službama </w:t>
      </w:r>
      <w:r w:rsidRPr="00206E6F">
        <w:rPr>
          <w:rFonts w:ascii="Arial" w:hAnsi="Arial" w:cs="Arial"/>
          <w:sz w:val="24"/>
          <w:szCs w:val="24"/>
        </w:rPr>
        <w:t>(Narodne novine, broj 155/23</w:t>
      </w:r>
      <w:r>
        <w:rPr>
          <w:rFonts w:ascii="Arial" w:hAnsi="Arial" w:cs="Arial"/>
          <w:sz w:val="24"/>
          <w:szCs w:val="24"/>
        </w:rPr>
        <w:t>, dalje u tekstu: Zakon</w:t>
      </w:r>
      <w:r w:rsidRPr="00206E6F">
        <w:rPr>
          <w:rFonts w:ascii="Arial" w:hAnsi="Arial" w:cs="Arial"/>
          <w:sz w:val="24"/>
          <w:szCs w:val="24"/>
        </w:rPr>
        <w:t>)</w:t>
      </w:r>
      <w:r w:rsidR="000E47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="003F5C04" w:rsidRPr="003F5C04">
        <w:rPr>
          <w:rFonts w:ascii="Arial" w:hAnsi="Arial" w:cs="Arial"/>
          <w:sz w:val="24"/>
          <w:szCs w:val="24"/>
        </w:rPr>
        <w:t>laća</w:t>
      </w:r>
      <w:r w:rsidR="00055DF6" w:rsidRPr="003F5C04">
        <w:rPr>
          <w:rFonts w:ascii="Arial" w:hAnsi="Arial" w:cs="Arial"/>
          <w:sz w:val="24"/>
          <w:szCs w:val="24"/>
        </w:rPr>
        <w:t xml:space="preserve"> službenika</w:t>
      </w:r>
      <w:r w:rsidR="003F5C04" w:rsidRPr="003F5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namještenika </w:t>
      </w:r>
      <w:r w:rsidR="003F5C04" w:rsidRPr="003F5C04">
        <w:rPr>
          <w:rFonts w:ascii="Arial" w:hAnsi="Arial" w:cs="Arial"/>
          <w:sz w:val="24"/>
          <w:szCs w:val="24"/>
        </w:rPr>
        <w:t>sastoji se od osnovne plaće i dodataka</w:t>
      </w:r>
      <w:r w:rsidR="00055DF6" w:rsidRPr="003F5C04">
        <w:rPr>
          <w:rFonts w:ascii="Arial" w:hAnsi="Arial" w:cs="Arial"/>
          <w:sz w:val="24"/>
          <w:szCs w:val="24"/>
        </w:rPr>
        <w:t xml:space="preserve"> na osnov</w:t>
      </w:r>
      <w:r w:rsidR="00766B8A" w:rsidRPr="003F5C04">
        <w:rPr>
          <w:rFonts w:ascii="Arial" w:hAnsi="Arial" w:cs="Arial"/>
          <w:sz w:val="24"/>
          <w:szCs w:val="24"/>
        </w:rPr>
        <w:t>n</w:t>
      </w:r>
      <w:r w:rsidR="00055DF6" w:rsidRPr="003F5C04">
        <w:rPr>
          <w:rFonts w:ascii="Arial" w:hAnsi="Arial" w:cs="Arial"/>
          <w:sz w:val="24"/>
          <w:szCs w:val="24"/>
        </w:rPr>
        <w:t>u plaću</w:t>
      </w:r>
      <w:r w:rsidR="00766B8A" w:rsidRPr="003F5C04">
        <w:rPr>
          <w:rFonts w:ascii="Arial" w:hAnsi="Arial" w:cs="Arial"/>
          <w:sz w:val="24"/>
          <w:szCs w:val="24"/>
        </w:rPr>
        <w:t xml:space="preserve"> utvrđeni</w:t>
      </w:r>
      <w:r w:rsidR="003F5C04" w:rsidRPr="003F5C04">
        <w:rPr>
          <w:rFonts w:ascii="Arial" w:hAnsi="Arial" w:cs="Arial"/>
          <w:sz w:val="24"/>
          <w:szCs w:val="24"/>
        </w:rPr>
        <w:t>h</w:t>
      </w:r>
      <w:r w:rsidR="00766B8A" w:rsidRPr="003F5C04">
        <w:rPr>
          <w:rFonts w:ascii="Arial" w:hAnsi="Arial" w:cs="Arial"/>
          <w:sz w:val="24"/>
          <w:szCs w:val="24"/>
        </w:rPr>
        <w:t xml:space="preserve"> Zakonom </w:t>
      </w:r>
      <w:r w:rsidR="003F5C04">
        <w:rPr>
          <w:rFonts w:ascii="Arial" w:hAnsi="Arial" w:cs="Arial"/>
          <w:sz w:val="24"/>
          <w:szCs w:val="24"/>
        </w:rPr>
        <w:t xml:space="preserve">te ostalih primitaka </w:t>
      </w:r>
      <w:r w:rsidR="003F5C04" w:rsidRPr="003F5C0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skladu s </w:t>
      </w:r>
      <w:r w:rsidR="003F5C04" w:rsidRPr="003F5C04">
        <w:rPr>
          <w:rFonts w:ascii="Arial" w:hAnsi="Arial" w:cs="Arial"/>
          <w:sz w:val="24"/>
          <w:szCs w:val="24"/>
        </w:rPr>
        <w:t>Z</w:t>
      </w:r>
      <w:r w:rsidR="003F5C04">
        <w:rPr>
          <w:rFonts w:ascii="Arial" w:hAnsi="Arial" w:cs="Arial"/>
          <w:sz w:val="24"/>
          <w:szCs w:val="24"/>
        </w:rPr>
        <w:t>akonom</w:t>
      </w:r>
      <w:r w:rsidR="003F5C04" w:rsidRPr="003F5C04">
        <w:rPr>
          <w:rFonts w:ascii="Arial" w:hAnsi="Arial" w:cs="Arial"/>
          <w:sz w:val="24"/>
          <w:szCs w:val="24"/>
        </w:rPr>
        <w:t xml:space="preserve"> i općim propisom o radu.</w:t>
      </w:r>
    </w:p>
    <w:p w:rsidR="003F5C04" w:rsidRDefault="003F5C04" w:rsidP="004914FE">
      <w:pPr>
        <w:pStyle w:val="Bezproreda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F5C04" w:rsidRDefault="00206E6F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članku 12. stavak 2. Zakona o</w:t>
      </w:r>
      <w:r w:rsidR="003F5C04" w:rsidRPr="003F5C04">
        <w:rPr>
          <w:rFonts w:ascii="Arial" w:hAnsi="Arial" w:cs="Arial"/>
          <w:sz w:val="24"/>
          <w:szCs w:val="24"/>
        </w:rPr>
        <w:t>snovna plaća je umnožak koeficijenta za obračun plaće radnog mjesta na koje je službenik i namještenik raspoređen ili za koje je sklopio ugovor o r</w:t>
      </w:r>
      <w:r w:rsidR="003F5C04">
        <w:rPr>
          <w:rFonts w:ascii="Arial" w:hAnsi="Arial" w:cs="Arial"/>
          <w:sz w:val="24"/>
          <w:szCs w:val="24"/>
        </w:rPr>
        <w:t>adu i osnovice za obračun plaće</w:t>
      </w:r>
      <w:r>
        <w:rPr>
          <w:rFonts w:ascii="Arial" w:hAnsi="Arial" w:cs="Arial"/>
          <w:sz w:val="24"/>
          <w:szCs w:val="24"/>
        </w:rPr>
        <w:t>.</w:t>
      </w:r>
    </w:p>
    <w:p w:rsidR="00206E6F" w:rsidRDefault="00206E6F" w:rsidP="004914F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06E6F" w:rsidRDefault="00206E6F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18. stavak 1. Zakona dodatak za radni staž iznosi 0,5% na osnovnu plaću za svaku navršenu godinu radnog staža.</w:t>
      </w:r>
    </w:p>
    <w:p w:rsidR="00206E6F" w:rsidRDefault="00206E6F" w:rsidP="004914F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3F5C04" w:rsidRDefault="003F5C0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F5C04">
        <w:rPr>
          <w:rFonts w:ascii="Arial" w:hAnsi="Arial" w:cs="Arial"/>
          <w:sz w:val="24"/>
          <w:szCs w:val="24"/>
        </w:rPr>
        <w:t>Osnovica za obračun plaće utvrđuje se kolektivnim ugovorom.</w:t>
      </w:r>
    </w:p>
    <w:p w:rsidR="003F5C04" w:rsidRDefault="003F5C04" w:rsidP="004914FE">
      <w:pPr>
        <w:pStyle w:val="Bezproreda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55DF6" w:rsidRPr="00055DF6" w:rsidRDefault="00055DF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F5C04">
        <w:rPr>
          <w:rFonts w:ascii="Arial" w:hAnsi="Arial" w:cs="Arial"/>
          <w:sz w:val="24"/>
          <w:szCs w:val="24"/>
        </w:rPr>
        <w:t xml:space="preserve">Koeficijent </w:t>
      </w:r>
      <w:r w:rsidR="003F5C04" w:rsidRPr="003F5C04">
        <w:rPr>
          <w:rFonts w:ascii="Arial" w:hAnsi="Arial" w:cs="Arial"/>
          <w:sz w:val="24"/>
          <w:szCs w:val="24"/>
        </w:rPr>
        <w:t xml:space="preserve">za obračun plaće </w:t>
      </w:r>
      <w:r w:rsidRPr="003F5C04">
        <w:rPr>
          <w:rFonts w:ascii="Arial" w:hAnsi="Arial" w:cs="Arial"/>
          <w:sz w:val="24"/>
          <w:szCs w:val="24"/>
        </w:rPr>
        <w:t>za radn</w:t>
      </w:r>
      <w:r w:rsidR="00BB6B09" w:rsidRPr="003F5C04">
        <w:rPr>
          <w:rFonts w:ascii="Arial" w:hAnsi="Arial" w:cs="Arial"/>
          <w:sz w:val="24"/>
          <w:szCs w:val="24"/>
        </w:rPr>
        <w:t xml:space="preserve">o mjesto informatički tehničar </w:t>
      </w:r>
      <w:r w:rsidRPr="003F5C04">
        <w:rPr>
          <w:rFonts w:ascii="Arial" w:hAnsi="Arial" w:cs="Arial"/>
          <w:sz w:val="24"/>
          <w:szCs w:val="24"/>
        </w:rPr>
        <w:t>određen je Uredbom o nazivima radnih mjesta, uvjetima za raspored i koeficijentima za ob</w:t>
      </w:r>
      <w:r w:rsidR="00BB6B09" w:rsidRPr="003F5C04">
        <w:rPr>
          <w:rFonts w:ascii="Arial" w:hAnsi="Arial" w:cs="Arial"/>
          <w:sz w:val="24"/>
          <w:szCs w:val="24"/>
        </w:rPr>
        <w:t>račun plaće u državnoj sl</w:t>
      </w:r>
      <w:r w:rsidR="00206E6F">
        <w:rPr>
          <w:rFonts w:ascii="Arial" w:hAnsi="Arial" w:cs="Arial"/>
          <w:sz w:val="24"/>
          <w:szCs w:val="24"/>
        </w:rPr>
        <w:t>užbi (Narodne novine, broj 22/</w:t>
      </w:r>
      <w:r w:rsidR="00BB6B09" w:rsidRPr="003F5C04">
        <w:rPr>
          <w:rFonts w:ascii="Arial" w:hAnsi="Arial" w:cs="Arial"/>
          <w:sz w:val="24"/>
          <w:szCs w:val="24"/>
        </w:rPr>
        <w:t>24</w:t>
      </w:r>
      <w:r w:rsidR="00206E6F">
        <w:rPr>
          <w:rFonts w:ascii="Arial" w:hAnsi="Arial" w:cs="Arial"/>
          <w:sz w:val="24"/>
          <w:szCs w:val="24"/>
        </w:rPr>
        <w:t xml:space="preserve"> i 33/24</w:t>
      </w:r>
      <w:r w:rsidR="00BB6B09" w:rsidRPr="003F5C04">
        <w:rPr>
          <w:rFonts w:ascii="Arial" w:hAnsi="Arial" w:cs="Arial"/>
          <w:sz w:val="24"/>
          <w:szCs w:val="24"/>
        </w:rPr>
        <w:t>) i iznosi 1,50.</w:t>
      </w:r>
    </w:p>
    <w:p w:rsidR="00055DF6" w:rsidRPr="00055DF6" w:rsidRDefault="00055DF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5DF6" w:rsidRPr="00206E6F" w:rsidRDefault="004914FE" w:rsidP="004914FE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SADRŽAJ, NAČIN I PRAVILA TESTIRANJA</w:t>
      </w:r>
    </w:p>
    <w:p w:rsidR="00055DF6" w:rsidRPr="00055DF6" w:rsidRDefault="00055DF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F388D" w:rsidRDefault="00BF388D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Provjera znanja, sposobnosti i vještina </w:t>
      </w:r>
      <w:r w:rsidRPr="00BF388D">
        <w:rPr>
          <w:rFonts w:ascii="Arial" w:hAnsi="Arial" w:cs="Arial"/>
          <w:sz w:val="24"/>
          <w:szCs w:val="24"/>
        </w:rPr>
        <w:t>kandidata te rezultata u dosadašnjem radu utvrđuje se putem test</w:t>
      </w:r>
      <w:r>
        <w:rPr>
          <w:rFonts w:ascii="Arial" w:hAnsi="Arial" w:cs="Arial"/>
          <w:sz w:val="24"/>
          <w:szCs w:val="24"/>
        </w:rPr>
        <w:t xml:space="preserve">iranja i razgovora (intervjua). Testiranje i razgovor s kandidatima provodi Komisija za provedbu </w:t>
      </w:r>
      <w:r w:rsidR="00AB75C4">
        <w:rPr>
          <w:rFonts w:ascii="Arial" w:hAnsi="Arial" w:cs="Arial"/>
          <w:sz w:val="24"/>
          <w:szCs w:val="24"/>
        </w:rPr>
        <w:t>javnog natječaja (dalje u tekstu: Komisija).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upućuju svi kandidati koji ispunjavaju formalne uvjete iz javnog natječaja, a čije su prijave pravodobne i potpune. Testiranje se sastoji od provjere znanja, sposobnosti i vještina bitnih za obavljanje poslova radnog mjesta.</w:t>
      </w:r>
    </w:p>
    <w:p w:rsidR="00462DC0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od: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Pisane provjere (10 bodova):</w:t>
      </w:r>
    </w:p>
    <w:p w:rsidR="00AB75C4" w:rsidRDefault="00AB75C4" w:rsidP="004914F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poznavanja ustavnog ustrojstva Republike Hrvatske</w:t>
      </w:r>
    </w:p>
    <w:p w:rsidR="00AB75C4" w:rsidRDefault="00462DC0" w:rsidP="004914FE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B75C4">
        <w:rPr>
          <w:rFonts w:ascii="Arial" w:hAnsi="Arial" w:cs="Arial"/>
          <w:sz w:val="24"/>
          <w:szCs w:val="24"/>
        </w:rPr>
        <w:t>rovjere znanja o organizaciji i načinu rada u državnom odvjetništvu.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Smatra se da je kandidat koji je ostvario najmanje 5 bodova </w:t>
      </w:r>
      <w:r w:rsidR="00462DC0">
        <w:rPr>
          <w:rFonts w:ascii="Arial" w:hAnsi="Arial" w:cs="Arial"/>
          <w:sz w:val="24"/>
          <w:szCs w:val="24"/>
        </w:rPr>
        <w:t xml:space="preserve">u pisanoj provjeri znanja </w:t>
      </w:r>
      <w:r>
        <w:rPr>
          <w:rFonts w:ascii="Arial" w:hAnsi="Arial" w:cs="Arial"/>
          <w:sz w:val="24"/>
          <w:szCs w:val="24"/>
        </w:rPr>
        <w:t xml:space="preserve">zadovoljio na </w:t>
      </w:r>
      <w:r w:rsidR="00462DC0">
        <w:rPr>
          <w:rFonts w:ascii="Arial" w:hAnsi="Arial" w:cs="Arial"/>
          <w:sz w:val="24"/>
          <w:szCs w:val="24"/>
        </w:rPr>
        <w:t>testiranju i može pristupiti slijedećem testiranju</w:t>
      </w:r>
      <w:r>
        <w:rPr>
          <w:rFonts w:ascii="Arial" w:hAnsi="Arial" w:cs="Arial"/>
          <w:sz w:val="24"/>
          <w:szCs w:val="24"/>
        </w:rPr>
        <w:t>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Provjere poznavanja rada na računalu i rada operativnih sustava (10 bodova).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Smatra se da je kandidat koji je ostvario najmanje 5 bodova u provjeri znanja </w:t>
      </w:r>
      <w:r w:rsidR="00FB2E13">
        <w:rPr>
          <w:rFonts w:ascii="Arial" w:hAnsi="Arial" w:cs="Arial"/>
          <w:sz w:val="24"/>
          <w:szCs w:val="24"/>
        </w:rPr>
        <w:t xml:space="preserve">rada </w:t>
      </w:r>
      <w:r>
        <w:rPr>
          <w:rFonts w:ascii="Arial" w:hAnsi="Arial" w:cs="Arial"/>
          <w:sz w:val="24"/>
          <w:szCs w:val="24"/>
        </w:rPr>
        <w:t>na računalu, zadovoljio na</w:t>
      </w:r>
      <w:r w:rsidR="00FB2E13">
        <w:rPr>
          <w:rFonts w:ascii="Arial" w:hAnsi="Arial" w:cs="Arial"/>
          <w:sz w:val="24"/>
          <w:szCs w:val="24"/>
        </w:rPr>
        <w:t xml:space="preserve"> testiranju</w:t>
      </w:r>
      <w:r>
        <w:rPr>
          <w:rFonts w:ascii="Arial" w:hAnsi="Arial" w:cs="Arial"/>
          <w:sz w:val="24"/>
          <w:szCs w:val="24"/>
        </w:rPr>
        <w:t>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koji ne zadovolji na provedenoj provjeri, odnosno dijelu provedene provjere, ne može sudjelovati u daljnjem postupku.</w:t>
      </w: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AB75C4" w:rsidP="004914F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Razgovora (intervjua) s Komisijom (10 bodova)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razgovor (intervju) pozvat će se kandidati koji su zadovoljili na testiranju u prethodnim fazama.</w:t>
      </w: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u razgovoru s kandidatima utvrđuje znanja, sposobnosti i vještine, interese, profesionalne ciljeve i motivaciju kandidata za rad u državnoj službi te rezultate ostvarene u njihovu dosadašnjem radu.</w:t>
      </w: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intervjua vrednuju se bodovima od 0 do 10. Smatra se da je kandidat zadovoljio na intervjuu ako je dobio najmanje 5 bodova.</w:t>
      </w:r>
    </w:p>
    <w:p w:rsidR="00AB75C4" w:rsidRDefault="00AB75C4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2E13">
        <w:rPr>
          <w:rFonts w:ascii="Arial" w:hAnsi="Arial" w:cs="Arial"/>
          <w:sz w:val="24"/>
          <w:szCs w:val="24"/>
        </w:rPr>
        <w:t>Raspored održavanja razgovora s Komisijom bit će utvrđen po završetku pisanog dijela testiranja i provjere rada na računalu, o čemu će kandidati biti obaviješteni.</w:t>
      </w:r>
    </w:p>
    <w:p w:rsidR="00FB2E13" w:rsidRDefault="00FB2E13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75C4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2E13">
        <w:rPr>
          <w:rFonts w:ascii="Arial" w:hAnsi="Arial" w:cs="Arial"/>
          <w:sz w:val="24"/>
          <w:szCs w:val="24"/>
        </w:rPr>
        <w:t>Pravila testiranja</w:t>
      </w:r>
    </w:p>
    <w:p w:rsidR="00462DC0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62DC0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Testiranju mogu pristupiti kandidati koji dođu u zakazano vrijeme i prije početka testiranja dokažu identitet važećom osobnom iskaznicom ili putovnicom.</w:t>
      </w:r>
    </w:p>
    <w:p w:rsidR="00462DC0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62DC0" w:rsidRDefault="00462DC0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Testiranju ne mogu pristupiti kandidati koji ne mogu</w:t>
      </w:r>
      <w:r w:rsidR="000D44A6">
        <w:rPr>
          <w:rFonts w:ascii="Arial" w:hAnsi="Arial" w:cs="Arial"/>
          <w:sz w:val="24"/>
          <w:szCs w:val="24"/>
        </w:rPr>
        <w:t xml:space="preserve"> dokazati identitet, osobe koje ne ispunjavaju formalne uvjete natječaja te osobe za koje se utvrdi da nisu podnijele prijavu na javni natječaj za radno mjesto za koje se obavlja testiranje.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Kandidat koji nije pristupio testiranju više se ne smatra kandidatom u postupku.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>Nakon što se utvrdi identitet kandidata pristupit će se testiranju.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D44A6" w:rsidRP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 xml:space="preserve">Kandidati su dužni pridržavati se utvrđenog vremena i rasporeda testiranja. 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D44A6" w:rsidRP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 xml:space="preserve">Za vrijeme testiranja kandidatima nije dozvoljeno: </w:t>
      </w:r>
    </w:p>
    <w:p w:rsidR="000D44A6" w:rsidRPr="000D44A6" w:rsidRDefault="000D44A6" w:rsidP="004914FE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 xml:space="preserve">koristiti se bilo kakvom literaturom ili bilješkama </w:t>
      </w:r>
    </w:p>
    <w:p w:rsidR="000D44A6" w:rsidRPr="000D44A6" w:rsidRDefault="000D44A6" w:rsidP="004914FE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 xml:space="preserve">koristiti mobitel ili druga komunikacijska sredstva </w:t>
      </w:r>
    </w:p>
    <w:p w:rsidR="000D44A6" w:rsidRPr="000D44A6" w:rsidRDefault="000D44A6" w:rsidP="004914FE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 xml:space="preserve">napuštati prostoriju u kojoj se vrši provjera znanja </w:t>
      </w:r>
    </w:p>
    <w:p w:rsidR="000D44A6" w:rsidRDefault="000D44A6" w:rsidP="004914FE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>razgovarati s ostalim kandidatima ili na drugi način remetiti mir i red.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>Zbog povrede navedenih pravila kandidat će biti udaljen s testiranja, a postignuti rezultat Komisija neće priznati niti ocijeniti.</w:t>
      </w:r>
    </w:p>
    <w:p w:rsidR="000D44A6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14FE" w:rsidRDefault="000D44A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D44A6">
        <w:rPr>
          <w:rFonts w:ascii="Arial" w:hAnsi="Arial" w:cs="Arial"/>
          <w:sz w:val="24"/>
          <w:szCs w:val="24"/>
        </w:rPr>
        <w:t>Nakon provedenog testiranja i razgovora Komisija će utvrditi rang</w:t>
      </w:r>
      <w:r>
        <w:rPr>
          <w:rFonts w:ascii="Arial" w:hAnsi="Arial" w:cs="Arial"/>
          <w:sz w:val="24"/>
          <w:szCs w:val="24"/>
        </w:rPr>
        <w:t xml:space="preserve">-listu kandidata </w:t>
      </w:r>
      <w:r w:rsidRPr="000D44A6">
        <w:rPr>
          <w:rFonts w:ascii="Arial" w:hAnsi="Arial" w:cs="Arial"/>
          <w:sz w:val="24"/>
          <w:szCs w:val="24"/>
        </w:rPr>
        <w:t xml:space="preserve">prema ukupnom broju </w:t>
      </w:r>
      <w:r>
        <w:rPr>
          <w:rFonts w:ascii="Arial" w:hAnsi="Arial" w:cs="Arial"/>
          <w:sz w:val="24"/>
          <w:szCs w:val="24"/>
        </w:rPr>
        <w:t>bodova ostvarenih na testiranju i intervjuu</w:t>
      </w:r>
      <w:r w:rsidRPr="000D44A6">
        <w:rPr>
          <w:rFonts w:ascii="Arial" w:hAnsi="Arial" w:cs="Arial"/>
          <w:sz w:val="24"/>
          <w:szCs w:val="24"/>
        </w:rPr>
        <w:t>. Kom</w:t>
      </w:r>
      <w:r>
        <w:rPr>
          <w:rFonts w:ascii="Arial" w:hAnsi="Arial" w:cs="Arial"/>
          <w:sz w:val="24"/>
          <w:szCs w:val="24"/>
        </w:rPr>
        <w:t>isija čelniku tijela dostavlja i</w:t>
      </w:r>
      <w:r w:rsidRPr="000D44A6">
        <w:rPr>
          <w:rFonts w:ascii="Arial" w:hAnsi="Arial" w:cs="Arial"/>
          <w:sz w:val="24"/>
          <w:szCs w:val="24"/>
        </w:rPr>
        <w:t>zvješće o provedenom postupku</w:t>
      </w:r>
      <w:r>
        <w:rPr>
          <w:rFonts w:ascii="Arial" w:hAnsi="Arial" w:cs="Arial"/>
          <w:sz w:val="24"/>
          <w:szCs w:val="24"/>
        </w:rPr>
        <w:t>,</w:t>
      </w:r>
      <w:r w:rsidRPr="000D44A6">
        <w:rPr>
          <w:rFonts w:ascii="Arial" w:hAnsi="Arial" w:cs="Arial"/>
          <w:sz w:val="24"/>
          <w:szCs w:val="24"/>
        </w:rPr>
        <w:t xml:space="preserve"> koje potpi</w:t>
      </w:r>
      <w:r>
        <w:rPr>
          <w:rFonts w:ascii="Arial" w:hAnsi="Arial" w:cs="Arial"/>
          <w:sz w:val="24"/>
          <w:szCs w:val="24"/>
        </w:rPr>
        <w:t>suju svi članovi Komisije. Uz iz</w:t>
      </w:r>
      <w:r w:rsidRPr="000D44A6">
        <w:rPr>
          <w:rFonts w:ascii="Arial" w:hAnsi="Arial" w:cs="Arial"/>
          <w:sz w:val="24"/>
          <w:szCs w:val="24"/>
        </w:rPr>
        <w:t xml:space="preserve">vješće </w:t>
      </w:r>
      <w:r>
        <w:rPr>
          <w:rFonts w:ascii="Arial" w:hAnsi="Arial" w:cs="Arial"/>
          <w:sz w:val="24"/>
          <w:szCs w:val="24"/>
        </w:rPr>
        <w:t>se prilaže rang-</w:t>
      </w:r>
      <w:r w:rsidRPr="000D44A6">
        <w:rPr>
          <w:rFonts w:ascii="Arial" w:hAnsi="Arial" w:cs="Arial"/>
          <w:sz w:val="24"/>
          <w:szCs w:val="24"/>
        </w:rPr>
        <w:t xml:space="preserve">lista kandidata prema ukupnom broju bodova ostvarenih na testiranju i </w:t>
      </w:r>
      <w:r>
        <w:rPr>
          <w:rFonts w:ascii="Arial" w:hAnsi="Arial" w:cs="Arial"/>
          <w:sz w:val="24"/>
          <w:szCs w:val="24"/>
        </w:rPr>
        <w:t>intervjuu.</w:t>
      </w:r>
    </w:p>
    <w:p w:rsidR="004914FE" w:rsidRDefault="004914FE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5DF6" w:rsidRPr="00055DF6" w:rsidRDefault="004914FE" w:rsidP="004914FE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IZVORI ZA PRIPREMU KANDIDATA</w:t>
      </w:r>
      <w:r w:rsidR="00D946CF">
        <w:rPr>
          <w:rFonts w:ascii="Arial" w:hAnsi="Arial" w:cs="Arial"/>
          <w:sz w:val="24"/>
          <w:szCs w:val="24"/>
        </w:rPr>
        <w:t xml:space="preserve"> ZA TESTIRANJE</w:t>
      </w:r>
    </w:p>
    <w:p w:rsidR="00055DF6" w:rsidRPr="00055DF6" w:rsidRDefault="00055DF6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14FE" w:rsidRDefault="004914FE" w:rsidP="004914FE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Ustav Republike Hrvatske (Narodne novine, broj 56/90, 135/97, </w:t>
      </w:r>
      <w:r w:rsidRPr="004914FE">
        <w:rPr>
          <w:rFonts w:ascii="Arial" w:hAnsi="Arial" w:cs="Arial"/>
          <w:sz w:val="24"/>
          <w:szCs w:val="24"/>
        </w:rPr>
        <w:t>8/98, 113/00, 124/00, 28</w:t>
      </w:r>
      <w:r>
        <w:rPr>
          <w:rFonts w:ascii="Arial" w:hAnsi="Arial" w:cs="Arial"/>
          <w:sz w:val="24"/>
          <w:szCs w:val="24"/>
        </w:rPr>
        <w:t xml:space="preserve">/01, 41/01, 55/01, 76/10, 85/10 i </w:t>
      </w:r>
      <w:r w:rsidRPr="004914FE">
        <w:rPr>
          <w:rFonts w:ascii="Arial" w:hAnsi="Arial" w:cs="Arial"/>
          <w:sz w:val="24"/>
          <w:szCs w:val="24"/>
        </w:rPr>
        <w:t>5/14</w:t>
      </w:r>
      <w:r>
        <w:rPr>
          <w:rFonts w:ascii="Arial" w:hAnsi="Arial" w:cs="Arial"/>
          <w:sz w:val="24"/>
          <w:szCs w:val="24"/>
        </w:rPr>
        <w:t>)</w:t>
      </w:r>
    </w:p>
    <w:p w:rsidR="004914FE" w:rsidRDefault="00055DF6" w:rsidP="004914FE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55DF6">
        <w:rPr>
          <w:rFonts w:ascii="Arial" w:hAnsi="Arial" w:cs="Arial"/>
          <w:sz w:val="24"/>
          <w:szCs w:val="24"/>
        </w:rPr>
        <w:t>Za</w:t>
      </w:r>
      <w:r w:rsidR="004914FE">
        <w:rPr>
          <w:rFonts w:ascii="Arial" w:hAnsi="Arial" w:cs="Arial"/>
          <w:sz w:val="24"/>
          <w:szCs w:val="24"/>
        </w:rPr>
        <w:t>kon o državnom odvjetništvu (Narodne novine, broj 67/18 i 21/22)</w:t>
      </w:r>
    </w:p>
    <w:p w:rsidR="00055DF6" w:rsidRPr="004914FE" w:rsidRDefault="00055DF6" w:rsidP="004914FE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914FE">
        <w:rPr>
          <w:rFonts w:ascii="Arial" w:hAnsi="Arial" w:cs="Arial"/>
          <w:sz w:val="24"/>
          <w:szCs w:val="24"/>
        </w:rPr>
        <w:t>Po</w:t>
      </w:r>
      <w:r w:rsidR="004914FE">
        <w:rPr>
          <w:rFonts w:ascii="Arial" w:hAnsi="Arial" w:cs="Arial"/>
          <w:sz w:val="24"/>
          <w:szCs w:val="24"/>
        </w:rPr>
        <w:t>slovnik državnog odvjetništva (Narodne novine,</w:t>
      </w:r>
      <w:r w:rsidRPr="004914FE">
        <w:rPr>
          <w:rFonts w:ascii="Arial" w:hAnsi="Arial" w:cs="Arial"/>
          <w:sz w:val="24"/>
          <w:szCs w:val="24"/>
        </w:rPr>
        <w:t xml:space="preserve"> broj 128/19).</w:t>
      </w:r>
    </w:p>
    <w:p w:rsidR="0058618C" w:rsidRDefault="0058618C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14FE" w:rsidRDefault="00D946CF" w:rsidP="004914FE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VRIJEM</w:t>
      </w:r>
      <w:r w:rsidR="000E471A">
        <w:rPr>
          <w:rFonts w:ascii="Arial" w:hAnsi="Arial" w:cs="Arial"/>
          <w:sz w:val="24"/>
          <w:szCs w:val="24"/>
        </w:rPr>
        <w:t>E I MJESTO ODRŽAVANJA TESTIRANJ</w:t>
      </w:r>
      <w:r>
        <w:rPr>
          <w:rFonts w:ascii="Arial" w:hAnsi="Arial" w:cs="Arial"/>
          <w:sz w:val="24"/>
          <w:szCs w:val="24"/>
        </w:rPr>
        <w:t>A KANDIDATA</w:t>
      </w:r>
    </w:p>
    <w:p w:rsidR="004914FE" w:rsidRDefault="004914FE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14FE" w:rsidRDefault="004914FE" w:rsidP="004914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14FE">
        <w:rPr>
          <w:rFonts w:ascii="Arial" w:hAnsi="Arial" w:cs="Arial"/>
          <w:sz w:val="24"/>
          <w:szCs w:val="24"/>
        </w:rPr>
        <w:t xml:space="preserve">Vrijeme i mjesto održavanja testiranja kandidata bit će objavljeni na web-stranici Državnog odvjetništva Republike Hrvatske </w:t>
      </w:r>
      <w:hyperlink r:id="rId6" w:history="1">
        <w:r w:rsidRPr="005D2626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ED24EC">
        <w:rPr>
          <w:rFonts w:ascii="Arial" w:hAnsi="Arial" w:cs="Arial"/>
          <w:sz w:val="24"/>
          <w:szCs w:val="24"/>
        </w:rPr>
        <w:t xml:space="preserve"> </w:t>
      </w:r>
      <w:r w:rsidR="00ED24EC" w:rsidRPr="00ED24EC">
        <w:rPr>
          <w:rFonts w:ascii="Arial" w:hAnsi="Arial" w:cs="Arial"/>
          <w:sz w:val="24"/>
          <w:szCs w:val="24"/>
        </w:rPr>
        <w:lastRenderedPageBreak/>
        <w:t xml:space="preserve">i web stranici Ministarstva pravosuđa, uprave i digitalne transformacije </w:t>
      </w:r>
      <w:hyperlink r:id="rId7" w:history="1">
        <w:r w:rsidR="00ED24EC" w:rsidRPr="00AC49B7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 w:rsidR="00ED24EC">
        <w:rPr>
          <w:rFonts w:ascii="Arial" w:hAnsi="Arial" w:cs="Arial"/>
          <w:sz w:val="24"/>
          <w:szCs w:val="24"/>
        </w:rPr>
        <w:t xml:space="preserve">, </w:t>
      </w:r>
      <w:r w:rsidRPr="004914FE">
        <w:rPr>
          <w:rFonts w:ascii="Arial" w:hAnsi="Arial" w:cs="Arial"/>
          <w:sz w:val="24"/>
          <w:szCs w:val="24"/>
        </w:rPr>
        <w:t>najmanje pet dana prije dana određenog za testiranje.</w:t>
      </w:r>
    </w:p>
    <w:p w:rsidR="00ED24EC" w:rsidRDefault="00ED24EC" w:rsidP="00ED24EC">
      <w:pPr>
        <w:pStyle w:val="Bezproreda"/>
        <w:rPr>
          <w:rFonts w:ascii="Arial" w:hAnsi="Arial" w:cs="Arial"/>
          <w:sz w:val="24"/>
          <w:szCs w:val="24"/>
        </w:rPr>
      </w:pPr>
    </w:p>
    <w:p w:rsidR="00084B65" w:rsidRPr="00055DF6" w:rsidRDefault="00055DF6" w:rsidP="004914FE">
      <w:pPr>
        <w:pStyle w:val="Bezproreda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055DF6">
        <w:rPr>
          <w:rFonts w:ascii="Arial" w:hAnsi="Arial" w:cs="Arial"/>
          <w:sz w:val="24"/>
          <w:szCs w:val="24"/>
        </w:rPr>
        <w:t xml:space="preserve">OPĆINSKO DRŽAVNO ODVJETNIŠTVO </w:t>
      </w:r>
      <w:r w:rsidR="0058618C">
        <w:rPr>
          <w:rFonts w:ascii="Arial" w:hAnsi="Arial" w:cs="Arial"/>
          <w:sz w:val="24"/>
          <w:szCs w:val="24"/>
        </w:rPr>
        <w:t>ŠIBENIKU</w:t>
      </w:r>
    </w:p>
    <w:sectPr w:rsidR="00084B65" w:rsidRPr="0005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15A"/>
    <w:multiLevelType w:val="hybridMultilevel"/>
    <w:tmpl w:val="DCAE9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680"/>
    <w:multiLevelType w:val="hybridMultilevel"/>
    <w:tmpl w:val="BB32F3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C37"/>
    <w:multiLevelType w:val="hybridMultilevel"/>
    <w:tmpl w:val="9714587C"/>
    <w:lvl w:ilvl="0" w:tplc="A664C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593B"/>
    <w:multiLevelType w:val="hybridMultilevel"/>
    <w:tmpl w:val="C8585B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6F36"/>
    <w:multiLevelType w:val="hybridMultilevel"/>
    <w:tmpl w:val="13FE61D4"/>
    <w:lvl w:ilvl="0" w:tplc="190AD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24C0"/>
    <w:multiLevelType w:val="hybridMultilevel"/>
    <w:tmpl w:val="1F0E9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053F2"/>
    <w:multiLevelType w:val="hybridMultilevel"/>
    <w:tmpl w:val="4F7CDB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83F1D"/>
    <w:multiLevelType w:val="hybridMultilevel"/>
    <w:tmpl w:val="020605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4867"/>
    <w:multiLevelType w:val="hybridMultilevel"/>
    <w:tmpl w:val="F732D3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66E"/>
    <w:multiLevelType w:val="hybridMultilevel"/>
    <w:tmpl w:val="16C4D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53269"/>
    <w:multiLevelType w:val="hybridMultilevel"/>
    <w:tmpl w:val="8DF0AEDA"/>
    <w:lvl w:ilvl="0" w:tplc="6094666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65"/>
    <w:rsid w:val="00002C89"/>
    <w:rsid w:val="00026C35"/>
    <w:rsid w:val="00027A90"/>
    <w:rsid w:val="00036960"/>
    <w:rsid w:val="00055DF6"/>
    <w:rsid w:val="00062885"/>
    <w:rsid w:val="00077C51"/>
    <w:rsid w:val="00084B65"/>
    <w:rsid w:val="0009537C"/>
    <w:rsid w:val="000A3AF3"/>
    <w:rsid w:val="000D44A6"/>
    <w:rsid w:val="000E471A"/>
    <w:rsid w:val="00206E6F"/>
    <w:rsid w:val="002F37C6"/>
    <w:rsid w:val="00363D8B"/>
    <w:rsid w:val="003715B8"/>
    <w:rsid w:val="003B0F4D"/>
    <w:rsid w:val="003F5C04"/>
    <w:rsid w:val="00400EF8"/>
    <w:rsid w:val="004378EE"/>
    <w:rsid w:val="00462DC0"/>
    <w:rsid w:val="004673B5"/>
    <w:rsid w:val="00485103"/>
    <w:rsid w:val="004914FE"/>
    <w:rsid w:val="0050221F"/>
    <w:rsid w:val="00526999"/>
    <w:rsid w:val="0058618C"/>
    <w:rsid w:val="005A79D6"/>
    <w:rsid w:val="006218FB"/>
    <w:rsid w:val="00637F65"/>
    <w:rsid w:val="006608C8"/>
    <w:rsid w:val="006C234B"/>
    <w:rsid w:val="006F37BA"/>
    <w:rsid w:val="006F681A"/>
    <w:rsid w:val="00704EFD"/>
    <w:rsid w:val="00720C89"/>
    <w:rsid w:val="007245FD"/>
    <w:rsid w:val="00753A1E"/>
    <w:rsid w:val="00766B8A"/>
    <w:rsid w:val="007D5D56"/>
    <w:rsid w:val="008173EB"/>
    <w:rsid w:val="00846FA5"/>
    <w:rsid w:val="008B2D88"/>
    <w:rsid w:val="008D31ED"/>
    <w:rsid w:val="008F68C4"/>
    <w:rsid w:val="009267B6"/>
    <w:rsid w:val="00934525"/>
    <w:rsid w:val="00950FD3"/>
    <w:rsid w:val="00974CBA"/>
    <w:rsid w:val="009D20BC"/>
    <w:rsid w:val="00A009EC"/>
    <w:rsid w:val="00AB75C4"/>
    <w:rsid w:val="00B06FA2"/>
    <w:rsid w:val="00B6331A"/>
    <w:rsid w:val="00B84EB7"/>
    <w:rsid w:val="00BB6B09"/>
    <w:rsid w:val="00BC47C0"/>
    <w:rsid w:val="00BF388D"/>
    <w:rsid w:val="00BF7F57"/>
    <w:rsid w:val="00CF18E3"/>
    <w:rsid w:val="00D250C6"/>
    <w:rsid w:val="00D736F0"/>
    <w:rsid w:val="00D762D2"/>
    <w:rsid w:val="00D946CF"/>
    <w:rsid w:val="00DC03B6"/>
    <w:rsid w:val="00DD7DC1"/>
    <w:rsid w:val="00E00BAC"/>
    <w:rsid w:val="00E30A48"/>
    <w:rsid w:val="00E369AF"/>
    <w:rsid w:val="00EB3174"/>
    <w:rsid w:val="00ED24EC"/>
    <w:rsid w:val="00EF2A19"/>
    <w:rsid w:val="00F53C00"/>
    <w:rsid w:val="00F95FD3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180A7-2AF8-44AF-8BA8-6C7FB633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22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00E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91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u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h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Brajković</dc:creator>
  <cp:keywords/>
  <dc:description/>
  <cp:lastModifiedBy>Ankica Marasović</cp:lastModifiedBy>
  <cp:revision>2</cp:revision>
  <cp:lastPrinted>2024-04-16T10:39:00Z</cp:lastPrinted>
  <dcterms:created xsi:type="dcterms:W3CDTF">2024-06-10T05:48:00Z</dcterms:created>
  <dcterms:modified xsi:type="dcterms:W3CDTF">2024-06-10T05:48:00Z</dcterms:modified>
</cp:coreProperties>
</file>