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C9F08" w14:textId="77777777" w:rsidR="00384A91" w:rsidRDefault="00384A91" w:rsidP="00384A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OPĆINSKO DRŽAVNO ODVJETNIŠTVO U RIJECI</w:t>
      </w:r>
    </w:p>
    <w:p w14:paraId="230DE015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Frana Supila 16, Rijeka </w:t>
      </w:r>
    </w:p>
    <w:p w14:paraId="665A47DD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 79067711474</w:t>
      </w:r>
    </w:p>
    <w:p w14:paraId="3083D901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RKP: 4825</w:t>
      </w:r>
    </w:p>
    <w:p w14:paraId="31882913" w14:textId="71CB5670" w:rsidR="00384A91" w:rsidRDefault="00384A91" w:rsidP="00384A91">
      <w:pPr>
        <w:pStyle w:val="Bezproreda"/>
        <w:rPr>
          <w:rFonts w:ascii="Arial" w:hAnsi="Arial" w:cs="Arial"/>
        </w:rPr>
      </w:pPr>
    </w:p>
    <w:p w14:paraId="0E97AF4D" w14:textId="0BADD857" w:rsidR="00400019" w:rsidRPr="00BF435B" w:rsidRDefault="00400019">
      <w:pPr>
        <w:rPr>
          <w:rFonts w:ascii="Arial" w:hAnsi="Arial" w:cs="Arial"/>
        </w:rPr>
      </w:pPr>
    </w:p>
    <w:p w14:paraId="206E4089" w14:textId="0F12DC5B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OPĆEG DIJELA </w:t>
      </w:r>
      <w:r w:rsidR="00DB1306">
        <w:rPr>
          <w:rFonts w:ascii="Arial" w:hAnsi="Arial" w:cs="Arial"/>
          <w:b/>
          <w:bCs/>
          <w:sz w:val="24"/>
          <w:szCs w:val="24"/>
        </w:rPr>
        <w:t>POLU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FINANCIJSKOG PLANA </w:t>
      </w:r>
      <w:r w:rsidR="00DB1306">
        <w:rPr>
          <w:rFonts w:ascii="Arial" w:hAnsi="Arial" w:cs="Arial"/>
          <w:b/>
          <w:bCs/>
          <w:sz w:val="24"/>
          <w:szCs w:val="24"/>
        </w:rPr>
        <w:t>(2</w:t>
      </w:r>
      <w:r w:rsidR="00EE5CFC">
        <w:rPr>
          <w:rFonts w:ascii="Arial" w:hAnsi="Arial" w:cs="Arial"/>
          <w:b/>
          <w:bCs/>
          <w:sz w:val="24"/>
          <w:szCs w:val="24"/>
        </w:rPr>
        <w:t>02</w:t>
      </w:r>
      <w:r w:rsidR="00DB1306">
        <w:rPr>
          <w:rFonts w:ascii="Arial" w:hAnsi="Arial" w:cs="Arial"/>
          <w:b/>
          <w:bCs/>
          <w:sz w:val="24"/>
          <w:szCs w:val="24"/>
        </w:rPr>
        <w:t>4</w:t>
      </w:r>
      <w:r w:rsidR="00EE5CFC">
        <w:rPr>
          <w:rFonts w:ascii="Arial" w:hAnsi="Arial" w:cs="Arial"/>
          <w:b/>
          <w:bCs/>
          <w:sz w:val="24"/>
          <w:szCs w:val="24"/>
        </w:rPr>
        <w:t>. GODIN</w:t>
      </w:r>
      <w:r w:rsidR="00DB1306">
        <w:rPr>
          <w:rFonts w:ascii="Arial" w:hAnsi="Arial" w:cs="Arial"/>
          <w:b/>
          <w:bCs/>
          <w:sz w:val="24"/>
          <w:szCs w:val="24"/>
        </w:rPr>
        <w:t>A)</w:t>
      </w:r>
    </w:p>
    <w:p w14:paraId="0D093D37" w14:textId="367E1151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07FBDA" w14:textId="77777777" w:rsidR="00D05115" w:rsidRDefault="00D05115" w:rsidP="00D051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OSTVARENJE PRIHODA </w:t>
      </w:r>
    </w:p>
    <w:p w14:paraId="5D55ABA4" w14:textId="43772AC0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2024. godinu tekućim planom planirani su ukupni prihodi u iznosu od </w:t>
      </w:r>
      <w:r w:rsidR="00E63C7E">
        <w:rPr>
          <w:rFonts w:ascii="Arial" w:hAnsi="Arial" w:cs="Arial"/>
          <w:sz w:val="24"/>
          <w:szCs w:val="24"/>
        </w:rPr>
        <w:t>2.967.070,00</w:t>
      </w:r>
      <w:r>
        <w:rPr>
          <w:rFonts w:ascii="Arial" w:hAnsi="Arial" w:cs="Arial"/>
          <w:sz w:val="24"/>
          <w:szCs w:val="24"/>
        </w:rPr>
        <w:t xml:space="preserve"> EUR od čega  prihodi iz nadležnog proračuna za financiranje rashoda poslovanja iznose </w:t>
      </w:r>
      <w:r w:rsidR="00E63C7E">
        <w:rPr>
          <w:rFonts w:ascii="Arial" w:hAnsi="Arial" w:cs="Arial"/>
          <w:sz w:val="24"/>
          <w:szCs w:val="24"/>
        </w:rPr>
        <w:t>2.961.953</w:t>
      </w:r>
      <w:r>
        <w:rPr>
          <w:rFonts w:ascii="Arial" w:hAnsi="Arial" w:cs="Arial"/>
          <w:sz w:val="24"/>
          <w:szCs w:val="24"/>
        </w:rPr>
        <w:t>,00 EUR, prihodi za financiranje rashoda za nabavu nefinancijske imovine iznose 3.</w:t>
      </w:r>
      <w:r w:rsidR="00E63C7E">
        <w:rPr>
          <w:rFonts w:ascii="Arial" w:hAnsi="Arial" w:cs="Arial"/>
          <w:sz w:val="24"/>
          <w:szCs w:val="24"/>
        </w:rPr>
        <w:t>392</w:t>
      </w:r>
      <w:r>
        <w:rPr>
          <w:rFonts w:ascii="Arial" w:hAnsi="Arial" w:cs="Arial"/>
          <w:sz w:val="24"/>
          <w:szCs w:val="24"/>
        </w:rPr>
        <w:t xml:space="preserve">,00 EUR, a vlastiti prihodi ostvareni od preslika spisa iznose </w:t>
      </w:r>
      <w:r w:rsidR="00E63C7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</w:t>
      </w:r>
      <w:r w:rsidR="00E63C7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,00 EUR. </w:t>
      </w:r>
    </w:p>
    <w:p w14:paraId="3AA69D6D" w14:textId="431C17C4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odnosu na tekući plan u prvih šest mjeseci 2024. godine izvršeno je </w:t>
      </w:r>
      <w:r w:rsidR="00E63C7E">
        <w:rPr>
          <w:rFonts w:ascii="Arial" w:hAnsi="Arial" w:cs="Arial"/>
          <w:sz w:val="24"/>
          <w:szCs w:val="24"/>
        </w:rPr>
        <w:t>1.582.927,36</w:t>
      </w:r>
      <w:r>
        <w:rPr>
          <w:rFonts w:ascii="Arial" w:hAnsi="Arial" w:cs="Arial"/>
          <w:sz w:val="24"/>
          <w:szCs w:val="24"/>
        </w:rPr>
        <w:t xml:space="preserve"> EUR, odnosno </w:t>
      </w:r>
      <w:r w:rsidR="00C246FA">
        <w:rPr>
          <w:rFonts w:ascii="Arial" w:hAnsi="Arial" w:cs="Arial"/>
          <w:sz w:val="24"/>
          <w:szCs w:val="24"/>
        </w:rPr>
        <w:t>53,35</w:t>
      </w:r>
      <w:r>
        <w:rPr>
          <w:rFonts w:ascii="Arial" w:hAnsi="Arial" w:cs="Arial"/>
          <w:sz w:val="24"/>
          <w:szCs w:val="24"/>
        </w:rPr>
        <w:t xml:space="preserve"> % ukupnog plana. </w:t>
      </w:r>
    </w:p>
    <w:p w14:paraId="24F23930" w14:textId="5686BA54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Kada se promatraju ostvareni prihodi u istom razdoblju prethodne 2023. godine može se zaključiti da su ukupni prihodi veći za </w:t>
      </w:r>
      <w:r w:rsidR="00C246FA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,</w:t>
      </w:r>
      <w:r w:rsidR="00C246FA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%. </w:t>
      </w:r>
    </w:p>
    <w:p w14:paraId="7B88B110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OSTVARENJE RASHODA</w:t>
      </w:r>
    </w:p>
    <w:p w14:paraId="45FDAFB8" w14:textId="7F349C17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Ukupni izvršeni rashodi u prvoj polovici 2024. godine (rashodi poslovanja i rashodi za nabavu nefinancijske imovine) iznose </w:t>
      </w:r>
      <w:r w:rsidR="00580D06">
        <w:rPr>
          <w:rFonts w:ascii="Arial" w:hAnsi="Arial" w:cs="Arial"/>
          <w:sz w:val="24"/>
          <w:szCs w:val="24"/>
        </w:rPr>
        <w:t>1.5882.655,31 EUR i veći su za 36</w:t>
      </w:r>
      <w:r>
        <w:rPr>
          <w:rFonts w:ascii="Arial" w:hAnsi="Arial" w:cs="Arial"/>
          <w:sz w:val="24"/>
          <w:szCs w:val="24"/>
        </w:rPr>
        <w:t>,</w:t>
      </w:r>
      <w:r w:rsidR="00580D0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% od ukupno izvršenih rashoda u prvoj polovici 2023. godine kada su iznosili </w:t>
      </w:r>
      <w:r w:rsidR="00580D06">
        <w:rPr>
          <w:rFonts w:ascii="Arial" w:hAnsi="Arial" w:cs="Arial"/>
          <w:sz w:val="24"/>
          <w:szCs w:val="24"/>
        </w:rPr>
        <w:t>1.163.616,05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304AF7E4" w14:textId="7AC499AA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odnosu na tekući plan rashoda u 2024. godini u prvih šest mjeseci izvršeno je </w:t>
      </w:r>
      <w:r w:rsidR="00580D06">
        <w:rPr>
          <w:rFonts w:ascii="Arial" w:hAnsi="Arial" w:cs="Arial"/>
          <w:sz w:val="24"/>
          <w:szCs w:val="24"/>
        </w:rPr>
        <w:t>53,35</w:t>
      </w:r>
      <w:r>
        <w:rPr>
          <w:rFonts w:ascii="Arial" w:hAnsi="Arial" w:cs="Arial"/>
          <w:sz w:val="24"/>
          <w:szCs w:val="24"/>
        </w:rPr>
        <w:t xml:space="preserve"> % ukupno planiranih rashoda.</w:t>
      </w:r>
    </w:p>
    <w:p w14:paraId="4714BBB2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PRIHODI PREMA EKONOMSKOJ KLASIFIKACIJI</w:t>
      </w:r>
    </w:p>
    <w:p w14:paraId="01717BA7" w14:textId="4E668D39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Izvršeni prihodi u prvih šest mjeseci 2024. godine iznose </w:t>
      </w:r>
      <w:r w:rsidR="00580D06">
        <w:rPr>
          <w:rFonts w:ascii="Arial" w:hAnsi="Arial" w:cs="Arial"/>
          <w:sz w:val="24"/>
          <w:szCs w:val="24"/>
        </w:rPr>
        <w:t>1.582.927,36</w:t>
      </w:r>
      <w:r>
        <w:rPr>
          <w:rFonts w:ascii="Arial" w:hAnsi="Arial" w:cs="Arial"/>
          <w:sz w:val="24"/>
          <w:szCs w:val="24"/>
        </w:rPr>
        <w:t xml:space="preserve"> EUR, a sastoje se od prihoda iz proračuna za financiranje rashoda poslovanja u iznosu od </w:t>
      </w:r>
      <w:r w:rsidR="00580D06">
        <w:rPr>
          <w:rFonts w:ascii="Arial" w:hAnsi="Arial" w:cs="Arial"/>
          <w:sz w:val="24"/>
          <w:szCs w:val="24"/>
        </w:rPr>
        <w:t>1.580.971,74 EUR</w:t>
      </w:r>
      <w:r>
        <w:rPr>
          <w:rFonts w:ascii="Arial" w:hAnsi="Arial" w:cs="Arial"/>
          <w:sz w:val="24"/>
          <w:szCs w:val="24"/>
        </w:rPr>
        <w:t>, prihoda za financiranje rashoda za nabavu nefinancijske imovine u iznosu 1.</w:t>
      </w:r>
      <w:r w:rsidR="00580D06">
        <w:rPr>
          <w:rFonts w:ascii="Arial" w:hAnsi="Arial" w:cs="Arial"/>
          <w:sz w:val="24"/>
          <w:szCs w:val="24"/>
        </w:rPr>
        <w:t>683</w:t>
      </w:r>
      <w:r>
        <w:rPr>
          <w:rFonts w:ascii="Arial" w:hAnsi="Arial" w:cs="Arial"/>
          <w:sz w:val="24"/>
          <w:szCs w:val="24"/>
        </w:rPr>
        <w:t>,</w:t>
      </w:r>
      <w:r w:rsidR="00580D06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 EUR i vlastitih prihoda od pruženih usluga u iznosu od </w:t>
      </w:r>
      <w:r w:rsidR="00580D06">
        <w:rPr>
          <w:rFonts w:ascii="Arial" w:hAnsi="Arial" w:cs="Arial"/>
          <w:sz w:val="24"/>
          <w:szCs w:val="24"/>
        </w:rPr>
        <w:t>272,05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79A15CED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RASHODI PREMA EKONOMSKOJ KLASIFIKACIJI</w:t>
      </w:r>
    </w:p>
    <w:p w14:paraId="3E76F732" w14:textId="16DE2FB7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Ukupno izvršeni rashodi u prvih šest mjeseci 2024. godini iznose </w:t>
      </w:r>
      <w:r w:rsidR="00580D06">
        <w:rPr>
          <w:rFonts w:ascii="Arial" w:hAnsi="Arial" w:cs="Arial"/>
          <w:sz w:val="24"/>
          <w:szCs w:val="24"/>
        </w:rPr>
        <w:t>1.582.951,51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74F60B5C" w14:textId="7EB66266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Promatrajući izvršenje plana rashoda poslovanja vidljivo je da su najznačajniji rashodi za zaposlene u iznosu </w:t>
      </w:r>
      <w:r w:rsidR="00580D06">
        <w:rPr>
          <w:rFonts w:ascii="Arial" w:hAnsi="Arial" w:cs="Arial"/>
          <w:sz w:val="24"/>
          <w:szCs w:val="24"/>
        </w:rPr>
        <w:t>1.361.915,44</w:t>
      </w:r>
      <w:r>
        <w:rPr>
          <w:rFonts w:ascii="Arial" w:hAnsi="Arial" w:cs="Arial"/>
          <w:sz w:val="24"/>
          <w:szCs w:val="24"/>
        </w:rPr>
        <w:t xml:space="preserve"> EUR i oni iznose </w:t>
      </w:r>
      <w:r w:rsidR="00580D06">
        <w:rPr>
          <w:rFonts w:ascii="Arial" w:hAnsi="Arial" w:cs="Arial"/>
          <w:sz w:val="24"/>
          <w:szCs w:val="24"/>
        </w:rPr>
        <w:t>86,10</w:t>
      </w:r>
      <w:r>
        <w:rPr>
          <w:rFonts w:ascii="Arial" w:hAnsi="Arial" w:cs="Arial"/>
          <w:sz w:val="24"/>
          <w:szCs w:val="24"/>
        </w:rPr>
        <w:t xml:space="preserve"> % ukupno izvršenih rashoda u prvih šest mjeseci 2024. godine.</w:t>
      </w:r>
    </w:p>
    <w:p w14:paraId="1E1EAC3B" w14:textId="77777777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nastavku su pojašnjeni izvršeni rashodi za prvih šest mjeseci 2024. godine po skupinama.</w:t>
      </w:r>
    </w:p>
    <w:p w14:paraId="19C204D0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Rashodi za zaposlene</w:t>
      </w:r>
    </w:p>
    <w:p w14:paraId="433F6DF0" w14:textId="569D16DF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zaposlene iznose </w:t>
      </w:r>
      <w:r w:rsidR="00580D06">
        <w:rPr>
          <w:rFonts w:ascii="Arial" w:hAnsi="Arial" w:cs="Arial"/>
          <w:sz w:val="24"/>
          <w:szCs w:val="24"/>
        </w:rPr>
        <w:t>1.361.915,44</w:t>
      </w:r>
      <w:r>
        <w:rPr>
          <w:rFonts w:ascii="Arial" w:hAnsi="Arial" w:cs="Arial"/>
          <w:sz w:val="24"/>
          <w:szCs w:val="24"/>
        </w:rPr>
        <w:t xml:space="preserve"> EUR, a odnose se na rashode za plaće zaposlenih, doprinose za obvezno zdravstveno osiguranje i ostalih rashoda za materijalna prava te doprinose za mirovinsko osiguranje s povećanim trajanjem. U odnosu na izvršenje rashoda za zaposlene u prvoj polovici 2023. godine, ova skupina rashoda veća je za </w:t>
      </w:r>
      <w:r w:rsidR="00580D06">
        <w:rPr>
          <w:rFonts w:ascii="Arial" w:hAnsi="Arial" w:cs="Arial"/>
          <w:sz w:val="24"/>
          <w:szCs w:val="24"/>
        </w:rPr>
        <w:t>37,02</w:t>
      </w:r>
      <w:r>
        <w:rPr>
          <w:rFonts w:ascii="Arial" w:hAnsi="Arial" w:cs="Arial"/>
          <w:sz w:val="24"/>
          <w:szCs w:val="24"/>
        </w:rPr>
        <w:t xml:space="preserve"> % što je posljedica rasta plaća, kao i novo priznatih materijalnih prava dužnosnika u 2024. godini.</w:t>
      </w:r>
    </w:p>
    <w:p w14:paraId="736969E0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Materijalni rashodi</w:t>
      </w:r>
    </w:p>
    <w:p w14:paraId="2E0FA07A" w14:textId="663DF5DD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Materijalni rashodi iznose </w:t>
      </w:r>
      <w:r w:rsidR="002A2BF3">
        <w:rPr>
          <w:rFonts w:ascii="Arial" w:hAnsi="Arial" w:cs="Arial"/>
          <w:sz w:val="24"/>
          <w:szCs w:val="24"/>
        </w:rPr>
        <w:t>210.226,09</w:t>
      </w:r>
      <w:r>
        <w:rPr>
          <w:rFonts w:ascii="Arial" w:hAnsi="Arial" w:cs="Arial"/>
          <w:sz w:val="24"/>
          <w:szCs w:val="24"/>
        </w:rPr>
        <w:t xml:space="preserve"> EUR, a najznačajniji rashodi iz ove skupine odnose se na intelektualne usluge koje iznose </w:t>
      </w:r>
      <w:r w:rsidR="002A2BF3">
        <w:rPr>
          <w:rFonts w:ascii="Arial" w:hAnsi="Arial" w:cs="Arial"/>
          <w:sz w:val="24"/>
          <w:szCs w:val="24"/>
        </w:rPr>
        <w:t>117.222,51</w:t>
      </w:r>
      <w:r>
        <w:rPr>
          <w:rFonts w:ascii="Arial" w:hAnsi="Arial" w:cs="Arial"/>
          <w:sz w:val="24"/>
          <w:szCs w:val="24"/>
        </w:rPr>
        <w:t xml:space="preserve"> EUR, odnosno 55</w:t>
      </w:r>
      <w:r w:rsidR="002A2BF3">
        <w:rPr>
          <w:rFonts w:ascii="Arial" w:hAnsi="Arial" w:cs="Arial"/>
          <w:sz w:val="24"/>
          <w:szCs w:val="24"/>
        </w:rPr>
        <w:t>,80</w:t>
      </w:r>
      <w:r>
        <w:rPr>
          <w:rFonts w:ascii="Arial" w:hAnsi="Arial" w:cs="Arial"/>
          <w:sz w:val="24"/>
          <w:szCs w:val="24"/>
        </w:rPr>
        <w:t xml:space="preserve"> % ukupnih materijalnih rashoda. Također, u odnosu na izvršenje u prvoj polovici 2023. godine rashodi za intelektualne usluge veći su za </w:t>
      </w:r>
      <w:r w:rsidR="002A2BF3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,</w:t>
      </w:r>
      <w:r w:rsidR="002A2BF3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%.</w:t>
      </w:r>
    </w:p>
    <w:p w14:paraId="288C2397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Financijski rashodi</w:t>
      </w:r>
    </w:p>
    <w:p w14:paraId="233E2555" w14:textId="4EB30EE8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Financijski rashodi u iznosu od </w:t>
      </w:r>
      <w:r w:rsidR="002A2BF3">
        <w:rPr>
          <w:rFonts w:ascii="Arial" w:hAnsi="Arial" w:cs="Arial"/>
          <w:sz w:val="24"/>
          <w:szCs w:val="24"/>
        </w:rPr>
        <w:t>9.126,41</w:t>
      </w:r>
      <w:r>
        <w:rPr>
          <w:rFonts w:ascii="Arial" w:hAnsi="Arial" w:cs="Arial"/>
          <w:sz w:val="24"/>
          <w:szCs w:val="24"/>
        </w:rPr>
        <w:t xml:space="preserve"> EUR odnose se na bankarske usluge, kamate po ugovoru za financijski leasing za kupnju službenog vozila te na zatezne kamate. Najznačajniji iznos rashoda u ovoj skupini odnosi se na zatezne kamate (za naknadno plaćeni staž s povećanim trajanjem dužnosnika) u iznosu od </w:t>
      </w:r>
      <w:r w:rsidR="002A2BF3">
        <w:rPr>
          <w:rFonts w:ascii="Arial" w:hAnsi="Arial" w:cs="Arial"/>
          <w:sz w:val="24"/>
          <w:szCs w:val="24"/>
        </w:rPr>
        <w:t>8.492,08</w:t>
      </w:r>
      <w:r>
        <w:rPr>
          <w:rFonts w:ascii="Arial" w:hAnsi="Arial" w:cs="Arial"/>
          <w:sz w:val="24"/>
          <w:szCs w:val="24"/>
        </w:rPr>
        <w:t xml:space="preserve"> EUR (</w:t>
      </w:r>
      <w:r w:rsidR="002A2BF3">
        <w:rPr>
          <w:rFonts w:ascii="Arial" w:hAnsi="Arial" w:cs="Arial"/>
          <w:sz w:val="24"/>
          <w:szCs w:val="24"/>
        </w:rPr>
        <w:t>93,10</w:t>
      </w:r>
      <w:r>
        <w:rPr>
          <w:rFonts w:ascii="Arial" w:hAnsi="Arial" w:cs="Arial"/>
          <w:sz w:val="24"/>
          <w:szCs w:val="24"/>
        </w:rPr>
        <w:t xml:space="preserve"> % od ukupnih financijskih rashoda). U prv</w:t>
      </w:r>
      <w:r w:rsidR="002A2BF3">
        <w:rPr>
          <w:rFonts w:ascii="Arial" w:hAnsi="Arial" w:cs="Arial"/>
          <w:sz w:val="24"/>
          <w:szCs w:val="24"/>
        </w:rPr>
        <w:t>oj</w:t>
      </w:r>
      <w:r>
        <w:rPr>
          <w:rFonts w:ascii="Arial" w:hAnsi="Arial" w:cs="Arial"/>
          <w:sz w:val="24"/>
          <w:szCs w:val="24"/>
        </w:rPr>
        <w:t xml:space="preserve"> polovic</w:t>
      </w:r>
      <w:r w:rsidR="002A2BF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2023. godine </w:t>
      </w:r>
      <w:r w:rsidR="002A2BF3">
        <w:rPr>
          <w:rFonts w:ascii="Arial" w:hAnsi="Arial" w:cs="Arial"/>
          <w:sz w:val="24"/>
          <w:szCs w:val="24"/>
        </w:rPr>
        <w:t xml:space="preserve">nije bilo ove kategorije financijskih rashoda. </w:t>
      </w:r>
    </w:p>
    <w:p w14:paraId="222B00AD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Rashodi za nabavu nefinancijske imovine</w:t>
      </w:r>
    </w:p>
    <w:p w14:paraId="66C5BBAC" w14:textId="2D53EC4F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 rashodi u iznosu od 1.</w:t>
      </w:r>
      <w:r w:rsidR="008809DA">
        <w:rPr>
          <w:rFonts w:ascii="Arial" w:hAnsi="Arial" w:cs="Arial"/>
          <w:sz w:val="24"/>
          <w:szCs w:val="24"/>
        </w:rPr>
        <w:t>683,57</w:t>
      </w:r>
      <w:r>
        <w:rPr>
          <w:rFonts w:ascii="Arial" w:hAnsi="Arial" w:cs="Arial"/>
          <w:sz w:val="24"/>
          <w:szCs w:val="24"/>
        </w:rPr>
        <w:t xml:space="preserve"> EUR odnose se na otplatu glavnice po ugovoru  financijskog </w:t>
      </w:r>
      <w:proofErr w:type="spellStart"/>
      <w:r>
        <w:rPr>
          <w:rFonts w:ascii="Arial" w:hAnsi="Arial" w:cs="Arial"/>
          <w:sz w:val="24"/>
          <w:szCs w:val="24"/>
        </w:rPr>
        <w:t>leasinga</w:t>
      </w:r>
      <w:proofErr w:type="spellEnd"/>
      <w:r>
        <w:rPr>
          <w:rFonts w:ascii="Arial" w:hAnsi="Arial" w:cs="Arial"/>
          <w:sz w:val="24"/>
          <w:szCs w:val="24"/>
        </w:rPr>
        <w:t xml:space="preserve"> za službeno vozilo te u odnosu na isto razdoblje prošle godine veći su za </w:t>
      </w:r>
      <w:r w:rsidR="008809DA">
        <w:rPr>
          <w:rFonts w:ascii="Arial" w:hAnsi="Arial" w:cs="Arial"/>
          <w:sz w:val="24"/>
          <w:szCs w:val="24"/>
        </w:rPr>
        <w:t>2,99</w:t>
      </w:r>
      <w:r>
        <w:rPr>
          <w:rFonts w:ascii="Arial" w:hAnsi="Arial" w:cs="Arial"/>
          <w:sz w:val="24"/>
          <w:szCs w:val="24"/>
        </w:rPr>
        <w:t xml:space="preserve"> %.</w:t>
      </w:r>
    </w:p>
    <w:p w14:paraId="4ABD929F" w14:textId="77777777" w:rsidR="00D05115" w:rsidRDefault="00D05115" w:rsidP="00D051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Podaci o stanju novčanih sredstava na računu: </w:t>
      </w:r>
    </w:p>
    <w:p w14:paraId="65AEAF22" w14:textId="281659B8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početku proračunske godine: </w:t>
      </w:r>
      <w:r w:rsidR="008809DA">
        <w:rPr>
          <w:rFonts w:ascii="Arial" w:hAnsi="Arial" w:cs="Arial"/>
          <w:sz w:val="24"/>
          <w:szCs w:val="24"/>
        </w:rPr>
        <w:t>4.248,49</w:t>
      </w:r>
      <w:r>
        <w:rPr>
          <w:rFonts w:ascii="Arial" w:hAnsi="Arial" w:cs="Arial"/>
          <w:sz w:val="24"/>
          <w:szCs w:val="24"/>
        </w:rPr>
        <w:t xml:space="preserve"> EUR,</w:t>
      </w:r>
    </w:p>
    <w:p w14:paraId="79818F3A" w14:textId="579DF993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dan 30. 6. 2024.: </w:t>
      </w:r>
      <w:r w:rsidR="008809DA">
        <w:rPr>
          <w:rFonts w:ascii="Arial" w:hAnsi="Arial" w:cs="Arial"/>
          <w:sz w:val="24"/>
          <w:szCs w:val="24"/>
        </w:rPr>
        <w:t>733,80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1772E001" w14:textId="7170A740" w:rsidR="00E84D0A" w:rsidRPr="00E84D0A" w:rsidRDefault="00E84D0A" w:rsidP="00D05115">
      <w:pPr>
        <w:jc w:val="both"/>
        <w:rPr>
          <w:rFonts w:ascii="Arial" w:hAnsi="Arial" w:cs="Arial"/>
          <w:b/>
          <w:sz w:val="24"/>
          <w:szCs w:val="24"/>
        </w:rPr>
      </w:pPr>
      <w:r w:rsidRPr="00E84D0A">
        <w:rPr>
          <w:rFonts w:ascii="Arial" w:hAnsi="Arial" w:cs="Arial"/>
          <w:b/>
          <w:sz w:val="24"/>
          <w:szCs w:val="24"/>
        </w:rPr>
        <w:t>Prijenos sredstava iz prethodne godine</w:t>
      </w:r>
    </w:p>
    <w:p w14:paraId="09CD472D" w14:textId="062228C2" w:rsidR="00E84D0A" w:rsidRDefault="00E84D0A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od 24,15 EUR prenesen je iz 2023. godine, a odnosi se na vlastiti prihod ostvaren od preslika spisa i koji nije utrošen u 2023. godini.</w:t>
      </w:r>
    </w:p>
    <w:p w14:paraId="7A60A924" w14:textId="77777777" w:rsidR="00D05115" w:rsidRDefault="00D05115" w:rsidP="00384817">
      <w:pPr>
        <w:jc w:val="both"/>
        <w:rPr>
          <w:rFonts w:ascii="Arial" w:hAnsi="Arial" w:cs="Arial"/>
          <w:sz w:val="24"/>
          <w:szCs w:val="24"/>
        </w:rPr>
      </w:pPr>
    </w:p>
    <w:p w14:paraId="21FC43B3" w14:textId="0E85C914" w:rsidR="00830118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 w:rsidR="00053B4E"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 w:rsidR="00DB1306">
        <w:rPr>
          <w:rFonts w:ascii="Arial" w:hAnsi="Arial" w:cs="Arial"/>
          <w:sz w:val="24"/>
          <w:szCs w:val="24"/>
        </w:rPr>
        <w:t>19. srpnja</w:t>
      </w:r>
      <w:r w:rsidR="002B17AE">
        <w:rPr>
          <w:rFonts w:ascii="Arial" w:hAnsi="Arial" w:cs="Arial"/>
          <w:sz w:val="24"/>
          <w:szCs w:val="24"/>
        </w:rPr>
        <w:t xml:space="preserve"> 2024. </w:t>
      </w:r>
    </w:p>
    <w:p w14:paraId="7927E9AA" w14:textId="0B3C288E" w:rsidR="004F0C3C" w:rsidRDefault="004F0C3C" w:rsidP="004000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00BEFA" w14:textId="77777777" w:rsidR="00D46EBA" w:rsidRDefault="00D46EBA" w:rsidP="00400019">
      <w:pPr>
        <w:rPr>
          <w:rFonts w:ascii="Arial" w:hAnsi="Arial" w:cs="Arial"/>
          <w:sz w:val="24"/>
          <w:szCs w:val="24"/>
        </w:rPr>
      </w:pPr>
    </w:p>
    <w:p w14:paraId="41AB3218" w14:textId="77777777" w:rsidR="00D46EBA" w:rsidRDefault="00D46EBA" w:rsidP="00400019">
      <w:pPr>
        <w:rPr>
          <w:rFonts w:ascii="Arial" w:hAnsi="Arial" w:cs="Arial"/>
          <w:sz w:val="24"/>
          <w:szCs w:val="24"/>
        </w:rPr>
      </w:pPr>
    </w:p>
    <w:p w14:paraId="1DEC8490" w14:textId="15A64BE7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27BA8A40" w14:textId="3A568EF8" w:rsidR="004F0C3C" w:rsidRDefault="004F0C3C" w:rsidP="00400019">
      <w:pPr>
        <w:rPr>
          <w:rFonts w:ascii="Arial" w:hAnsi="Arial" w:cs="Arial"/>
          <w:sz w:val="24"/>
          <w:szCs w:val="24"/>
        </w:rPr>
      </w:pPr>
    </w:p>
    <w:sectPr w:rsidR="004F0C3C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8902" w14:textId="77777777" w:rsidR="002C5302" w:rsidRDefault="002C5302" w:rsidP="008B50EF">
      <w:pPr>
        <w:spacing w:after="0" w:line="240" w:lineRule="auto"/>
      </w:pPr>
      <w:r>
        <w:separator/>
      </w:r>
    </w:p>
  </w:endnote>
  <w:endnote w:type="continuationSeparator" w:id="0">
    <w:p w14:paraId="46C3D064" w14:textId="77777777" w:rsidR="002C5302" w:rsidRDefault="002C5302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71A46" w14:textId="77777777" w:rsidR="002C5302" w:rsidRDefault="002C5302" w:rsidP="008B50EF">
      <w:pPr>
        <w:spacing w:after="0" w:line="240" w:lineRule="auto"/>
      </w:pPr>
      <w:r>
        <w:separator/>
      </w:r>
    </w:p>
  </w:footnote>
  <w:footnote w:type="continuationSeparator" w:id="0">
    <w:p w14:paraId="53FF9DA5" w14:textId="77777777" w:rsidR="002C5302" w:rsidRDefault="002C5302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E84D0A">
          <w:rPr>
            <w:rFonts w:ascii="Arial" w:hAnsi="Arial" w:cs="Arial"/>
            <w:noProof/>
          </w:rPr>
          <w:t>2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3B4E"/>
    <w:rsid w:val="000C54F8"/>
    <w:rsid w:val="000E53BB"/>
    <w:rsid w:val="000F4D8E"/>
    <w:rsid w:val="001525A0"/>
    <w:rsid w:val="001D7214"/>
    <w:rsid w:val="001E14E4"/>
    <w:rsid w:val="0020672A"/>
    <w:rsid w:val="0021360A"/>
    <w:rsid w:val="00285760"/>
    <w:rsid w:val="00290C6A"/>
    <w:rsid w:val="00297B7E"/>
    <w:rsid w:val="002A2BF3"/>
    <w:rsid w:val="002B17AE"/>
    <w:rsid w:val="002B7CB4"/>
    <w:rsid w:val="002C5302"/>
    <w:rsid w:val="002F1AAC"/>
    <w:rsid w:val="00327AB7"/>
    <w:rsid w:val="00381ACA"/>
    <w:rsid w:val="003839F2"/>
    <w:rsid w:val="00384817"/>
    <w:rsid w:val="00384A91"/>
    <w:rsid w:val="003B77E4"/>
    <w:rsid w:val="003D4073"/>
    <w:rsid w:val="00400019"/>
    <w:rsid w:val="004571B5"/>
    <w:rsid w:val="004656F5"/>
    <w:rsid w:val="004E0789"/>
    <w:rsid w:val="004E527A"/>
    <w:rsid w:val="004F0C3C"/>
    <w:rsid w:val="005255CF"/>
    <w:rsid w:val="00580D06"/>
    <w:rsid w:val="006435B8"/>
    <w:rsid w:val="006D3DE7"/>
    <w:rsid w:val="007523CB"/>
    <w:rsid w:val="00772663"/>
    <w:rsid w:val="00780BEE"/>
    <w:rsid w:val="007A4EDB"/>
    <w:rsid w:val="007A7AC6"/>
    <w:rsid w:val="007E4ACD"/>
    <w:rsid w:val="007E6BED"/>
    <w:rsid w:val="008111BE"/>
    <w:rsid w:val="008148AB"/>
    <w:rsid w:val="00830118"/>
    <w:rsid w:val="00847846"/>
    <w:rsid w:val="008809DA"/>
    <w:rsid w:val="008B50EF"/>
    <w:rsid w:val="00930070"/>
    <w:rsid w:val="0093561C"/>
    <w:rsid w:val="00973E40"/>
    <w:rsid w:val="00984F2F"/>
    <w:rsid w:val="009857F3"/>
    <w:rsid w:val="00A2596B"/>
    <w:rsid w:val="00A349AB"/>
    <w:rsid w:val="00A536A4"/>
    <w:rsid w:val="00A842D7"/>
    <w:rsid w:val="00AA6939"/>
    <w:rsid w:val="00B00FC5"/>
    <w:rsid w:val="00B02DEB"/>
    <w:rsid w:val="00B7460D"/>
    <w:rsid w:val="00BA5052"/>
    <w:rsid w:val="00BA5214"/>
    <w:rsid w:val="00BF435B"/>
    <w:rsid w:val="00C12EFF"/>
    <w:rsid w:val="00C246FA"/>
    <w:rsid w:val="00C9692A"/>
    <w:rsid w:val="00D05115"/>
    <w:rsid w:val="00D36944"/>
    <w:rsid w:val="00D46EBA"/>
    <w:rsid w:val="00D61907"/>
    <w:rsid w:val="00D86D44"/>
    <w:rsid w:val="00DB1306"/>
    <w:rsid w:val="00DE4CB7"/>
    <w:rsid w:val="00E30890"/>
    <w:rsid w:val="00E63C7E"/>
    <w:rsid w:val="00E84D0A"/>
    <w:rsid w:val="00EC7694"/>
    <w:rsid w:val="00EE5CFC"/>
    <w:rsid w:val="00F10201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28</cp:revision>
  <dcterms:created xsi:type="dcterms:W3CDTF">2024-03-26T13:52:00Z</dcterms:created>
  <dcterms:modified xsi:type="dcterms:W3CDTF">2024-07-19T10:36:00Z</dcterms:modified>
</cp:coreProperties>
</file>