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2154F9" w14:textId="0D50C03E" w:rsidR="00E91848" w:rsidRDefault="00BA7296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4A17DF3E" wp14:editId="092C8E03">
                <wp:extent cx="6480175" cy="314325"/>
                <wp:effectExtent l="13335" t="8255" r="12065" b="1079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E689" w14:textId="5F8B1356" w:rsidR="00E91848" w:rsidRDefault="008E44E1">
                              <w:pPr>
                                <w:spacing w:before="13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30"/>
                                </w:rPr>
                                <w:t>10985</w:t>
                              </w:r>
                              <w:r w:rsidR="00E34DE2">
                                <w:rPr>
                                  <w:b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 w:rsidR="007D31F7">
                                <w:rPr>
                                  <w:b/>
                                  <w:spacing w:val="16"/>
                                  <w:sz w:val="30"/>
                                </w:rPr>
                                <w:t xml:space="preserve">Općinsko državno odvjetništvo u </w:t>
                              </w:r>
                              <w:r w:rsidR="00E34DE2">
                                <w:rPr>
                                  <w:b/>
                                  <w:spacing w:val="19"/>
                                  <w:sz w:val="30"/>
                                </w:rPr>
                                <w:t>Osijek</w:t>
                              </w:r>
                              <w:r w:rsidR="007D31F7">
                                <w:rPr>
                                  <w:b/>
                                  <w:spacing w:val="19"/>
                                  <w:sz w:val="3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7DF3E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E7E689" w14:textId="5F8B1356" w:rsidR="00E91848" w:rsidRDefault="008E44E1">
                        <w:pPr>
                          <w:spacing w:before="13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16"/>
                            <w:sz w:val="30"/>
                          </w:rPr>
                          <w:t>10985</w:t>
                        </w:r>
                        <w:r w:rsidR="00E34DE2">
                          <w:rPr>
                            <w:b/>
                            <w:spacing w:val="41"/>
                            <w:sz w:val="30"/>
                          </w:rPr>
                          <w:t xml:space="preserve"> </w:t>
                        </w:r>
                        <w:r w:rsidR="007D31F7">
                          <w:rPr>
                            <w:b/>
                            <w:spacing w:val="16"/>
                            <w:sz w:val="30"/>
                          </w:rPr>
                          <w:t xml:space="preserve">Općinsko državno odvjetništvo u </w:t>
                        </w:r>
                        <w:r w:rsidR="00E34DE2">
                          <w:rPr>
                            <w:b/>
                            <w:spacing w:val="19"/>
                            <w:sz w:val="30"/>
                          </w:rPr>
                          <w:t>Osijek</w:t>
                        </w:r>
                        <w:r w:rsidR="007D31F7">
                          <w:rPr>
                            <w:b/>
                            <w:spacing w:val="19"/>
                            <w:sz w:val="30"/>
                          </w:rPr>
                          <w:t>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62C4D5F1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A5403A">
        <w:rPr>
          <w:rFonts w:ascii="Arial" w:hAnsi="Arial" w:cs="Arial"/>
          <w:sz w:val="24"/>
          <w:szCs w:val="24"/>
        </w:rPr>
        <w:t xml:space="preserve">109 MINISTARSTVO PRAVOSUĐA, </w:t>
      </w:r>
      <w:r w:rsidRPr="00511FA0">
        <w:rPr>
          <w:rFonts w:ascii="Arial" w:hAnsi="Arial" w:cs="Arial"/>
          <w:sz w:val="24"/>
          <w:szCs w:val="24"/>
        </w:rPr>
        <w:t>UPRAVE</w:t>
      </w:r>
      <w:r w:rsidR="00A5403A">
        <w:rPr>
          <w:rFonts w:ascii="Arial" w:hAnsi="Arial" w:cs="Arial"/>
          <w:sz w:val="24"/>
          <w:szCs w:val="24"/>
        </w:rPr>
        <w:t xml:space="preserve"> I DIGITALNE TRANSFORMACIJE</w:t>
      </w:r>
    </w:p>
    <w:p w14:paraId="5C70AB8A" w14:textId="25D2F4F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10985 OPĆINSKO DRŽAVNO ODVJETNIŠTVO U OSIJEKU</w:t>
      </w:r>
    </w:p>
    <w:p w14:paraId="1D0392A6" w14:textId="403D29E5" w:rsidR="006604FC" w:rsidRDefault="008E44E1" w:rsidP="006604FC">
      <w:pPr>
        <w:rPr>
          <w:rFonts w:ascii="Arial" w:hAnsi="Arial" w:cs="Arial"/>
          <w:sz w:val="24"/>
          <w:szCs w:val="24"/>
          <w:lang w:eastAsia="hr-HR"/>
        </w:rPr>
      </w:pPr>
      <w:r w:rsidRPr="00511FA0">
        <w:rPr>
          <w:rFonts w:ascii="Arial" w:hAnsi="Arial" w:cs="Arial"/>
          <w:sz w:val="24"/>
          <w:szCs w:val="24"/>
        </w:rPr>
        <w:t>Aktivnost: A642000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 xml:space="preserve">PROGON POČINITELJA KAZNENIH I KAŽNJIVIH DJELA I ZAŠTITA </w:t>
      </w:r>
      <w:r w:rsidR="00A5403A">
        <w:rPr>
          <w:rFonts w:ascii="Arial" w:hAnsi="Arial" w:cs="Arial"/>
          <w:sz w:val="24"/>
          <w:szCs w:val="24"/>
          <w:lang w:eastAsia="hr-HR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IMOVINE RH PRED NADLEŽNIM SUDOVIMA I TIJELIMA</w:t>
      </w:r>
    </w:p>
    <w:p w14:paraId="057D1368" w14:textId="73287EDD" w:rsidR="00A5403A" w:rsidRPr="00511FA0" w:rsidRDefault="00A5403A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Program:   2812-DJELOVANJE DRŽAVNIH ODVJETNIŠTAVA 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Pr="00511FA0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74799BFF" w14:textId="77777777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 xml:space="preserve">OBRAZLOŽENJE POSEBNOG DIJELA FINANCIJSKOG PLANA ZA RAZDOBLJE </w:t>
      </w:r>
    </w:p>
    <w:p w14:paraId="3F46331A" w14:textId="4553F5E3" w:rsidR="00BB0C44" w:rsidRPr="00511FA0" w:rsidRDefault="00101689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2025.-2027</w:t>
      </w:r>
      <w:r w:rsidR="00BB0C44" w:rsidRPr="00511FA0">
        <w:rPr>
          <w:rFonts w:ascii="Arial" w:hAnsi="Arial" w:cs="Arial"/>
          <w:b/>
          <w:sz w:val="24"/>
          <w:szCs w:val="24"/>
        </w:rPr>
        <w:t>. GODINE (Prilog 7b)</w:t>
      </w:r>
    </w:p>
    <w:p w14:paraId="2FE89AA3" w14:textId="77777777" w:rsidR="00616193" w:rsidRPr="00511FA0" w:rsidRDefault="00616193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</w:p>
    <w:p w14:paraId="36E8E6FA" w14:textId="77777777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EE409C7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D4CAAC1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Općinsko državno  odvjetništvo nadležno je za progon počinitelja kaznenih djela za koje je zapriječena kazna zakona do 12 godina, osim za kaznena djela navedena u čl. 19. Zakona o kaznenom postupku.</w:t>
      </w:r>
    </w:p>
    <w:p w14:paraId="713F864D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D103029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Općinsko državno odvjetništvo u Osijeku nadležno je za maloljetnike i mlađe punoljetnike počinitelje kaznenih djela iz nadležnosti svih općinskih državnih odvjetništava s područja Županijskog državnog odvjetništva u Osijeku.</w:t>
      </w:r>
    </w:p>
    <w:p w14:paraId="234EAAE1" w14:textId="77777777" w:rsidR="0014420E" w:rsidRPr="00511FA0" w:rsidRDefault="0014420E" w:rsidP="007D31F7">
      <w:pPr>
        <w:jc w:val="both"/>
        <w:rPr>
          <w:rFonts w:ascii="Arial" w:hAnsi="Arial" w:cs="Arial"/>
          <w:sz w:val="24"/>
          <w:szCs w:val="24"/>
        </w:rPr>
      </w:pPr>
    </w:p>
    <w:p w14:paraId="29E1EF10" w14:textId="3DCCFF08" w:rsidR="003F41D0" w:rsidRPr="00511FA0" w:rsidRDefault="0014420E" w:rsidP="003F41D0">
      <w:pPr>
        <w:pStyle w:val="Naslov2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Zakonske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i druge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pravne osnove:</w:t>
      </w:r>
    </w:p>
    <w:p w14:paraId="2B2B873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Poslovnik državnog odvjetništva (NN 128/2019)</w:t>
      </w:r>
    </w:p>
    <w:p w14:paraId="5072AB6F" w14:textId="5E7CE521" w:rsidR="00E325FE" w:rsidRPr="00E325FE" w:rsidRDefault="001316CA" w:rsidP="00E325F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Pravilnik o unutarnjem redu Općinskog državnog odvjetništva u Osijeku broj: A-116/2015 od 18. lipnja 2015. godine, Pravilnik o izmjenama i dopunama Pravilnika o unutarnjem redu, broj A-82/2019-2 od 13. ožujka 2019. godine, te Pravilnik o izmjenama Pravilnika o unutarnjem redu u Općinskom državnom odvjetništvu u Osijeku, broj A-38/2022-8 od 2</w:t>
      </w:r>
      <w:r w:rsidR="00E325FE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5. veljače 2022., </w:t>
      </w:r>
      <w:r w:rsidR="00E325FE" w:rsidRPr="00E325FE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Pravilnik o izmjenama Pravilnika o unutarnjem redu u Općinskom državnom odvjetništvu u Osijeku, broj A-68/2023 od 24. travnja 2023.</w:t>
      </w:r>
    </w:p>
    <w:p w14:paraId="06729215" w14:textId="0EB09A03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 xml:space="preserve">Zakon o </w:t>
      </w:r>
      <w:r w:rsidR="00101689">
        <w:rPr>
          <w:rFonts w:ascii="Arial" w:hAnsi="Arial" w:cs="Arial"/>
          <w:b w:val="0"/>
          <w:sz w:val="24"/>
          <w:szCs w:val="24"/>
        </w:rPr>
        <w:t>plaćama u državnoj službi i javnim službama (NN 155/2023</w:t>
      </w:r>
      <w:r w:rsidRPr="00511FA0">
        <w:rPr>
          <w:rFonts w:ascii="Arial" w:hAnsi="Arial" w:cs="Arial"/>
          <w:b w:val="0"/>
          <w:sz w:val="24"/>
          <w:szCs w:val="24"/>
        </w:rPr>
        <w:t>)</w:t>
      </w:r>
    </w:p>
    <w:p w14:paraId="745ADD1C" w14:textId="21FD1D68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Kolektivni ugovor za državne službenike i namještenike (NN 56/</w:t>
      </w:r>
      <w:r w:rsidR="00F22FB1">
        <w:rPr>
          <w:rFonts w:ascii="Arial" w:hAnsi="Arial" w:cs="Arial"/>
          <w:b w:val="0"/>
          <w:sz w:val="24"/>
          <w:szCs w:val="24"/>
        </w:rPr>
        <w:t>20</w:t>
      </w:r>
      <w:r w:rsidRPr="00511FA0">
        <w:rPr>
          <w:rFonts w:ascii="Arial" w:hAnsi="Arial" w:cs="Arial"/>
          <w:b w:val="0"/>
          <w:sz w:val="24"/>
          <w:szCs w:val="24"/>
        </w:rPr>
        <w:t>22</w:t>
      </w:r>
      <w:r w:rsidR="00F22FB1">
        <w:rPr>
          <w:rFonts w:ascii="Arial" w:hAnsi="Arial" w:cs="Arial"/>
          <w:b w:val="0"/>
          <w:sz w:val="24"/>
          <w:szCs w:val="24"/>
        </w:rPr>
        <w:t>, NN 127/2022, NN 58/2023, NN 128/2023 i NN 29/2024</w:t>
      </w:r>
      <w:r w:rsidRPr="00511FA0">
        <w:rPr>
          <w:rFonts w:ascii="Arial" w:hAnsi="Arial" w:cs="Arial"/>
          <w:b w:val="0"/>
          <w:sz w:val="24"/>
          <w:szCs w:val="24"/>
        </w:rPr>
        <w:t>)</w:t>
      </w:r>
    </w:p>
    <w:p w14:paraId="791D0F1B" w14:textId="3E50E683" w:rsidR="00865548" w:rsidRDefault="0014420E" w:rsidP="003F4457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101689">
        <w:rPr>
          <w:rFonts w:ascii="Arial" w:hAnsi="Arial" w:cs="Arial"/>
          <w:b w:val="0"/>
          <w:sz w:val="24"/>
          <w:szCs w:val="24"/>
        </w:rPr>
        <w:t>Uredba</w:t>
      </w:r>
      <w:r w:rsidR="001316CA" w:rsidRPr="00101689">
        <w:rPr>
          <w:rFonts w:ascii="Arial" w:hAnsi="Arial" w:cs="Arial"/>
          <w:b w:val="0"/>
          <w:sz w:val="24"/>
          <w:szCs w:val="24"/>
        </w:rPr>
        <w:t xml:space="preserve"> o nazivima radnih mjesta i koeficijentima složenosti poslova u državnoj službi (NN </w:t>
      </w:r>
      <w:r w:rsidR="00101689">
        <w:rPr>
          <w:rFonts w:ascii="Arial" w:hAnsi="Arial" w:cs="Arial"/>
          <w:b w:val="0"/>
          <w:sz w:val="24"/>
          <w:szCs w:val="24"/>
        </w:rPr>
        <w:t>22/2024)</w:t>
      </w:r>
    </w:p>
    <w:p w14:paraId="40A809CE" w14:textId="2FB73727" w:rsidR="00101689" w:rsidRPr="00101689" w:rsidRDefault="00101689" w:rsidP="003F4457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Zakon o plaći i drugim materijalnim pravima pravosudnih dužnosnika (NN 35/2024)</w:t>
      </w:r>
    </w:p>
    <w:p w14:paraId="6AD964A2" w14:textId="77777777" w:rsidR="00865548" w:rsidRPr="00511FA0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E89881D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D37BEDE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EA2079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3909130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C2AD239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BC41986" w14:textId="77777777" w:rsidR="0014420E" w:rsidRPr="00511FA0" w:rsidRDefault="0014420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  <w:r w:rsidRPr="00511FA0">
        <w:rPr>
          <w:rFonts w:ascii="Arial" w:hAnsi="Arial" w:cs="Arial"/>
          <w:sz w:val="24"/>
          <w:szCs w:val="24"/>
          <w:u w:val="single"/>
        </w:rPr>
        <w:t xml:space="preserve">A642000  </w:t>
      </w:r>
      <w:r w:rsidRPr="00511FA0">
        <w:rPr>
          <w:rFonts w:ascii="Arial" w:hAnsi="Arial" w:cs="Arial"/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511FA0" w:rsidRDefault="00D7190C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3D1C6099" w14:textId="77777777" w:rsidR="0027064B" w:rsidRPr="00511FA0" w:rsidRDefault="0027064B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452C5F28" w14:textId="77777777" w:rsidR="00F220BE" w:rsidRPr="00511FA0" w:rsidRDefault="00F220B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14A4980D" w14:textId="53C45B9E" w:rsidR="0027064B" w:rsidRDefault="00E8669C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FINANCIJSKI PLAN 2025.S PROJEKCIJAMA 2026</w:t>
      </w:r>
      <w:r w:rsidR="00D643EF" w:rsidRPr="00511FA0">
        <w:rPr>
          <w:rFonts w:ascii="Arial" w:hAnsi="Arial" w:cs="Arial"/>
          <w:b w:val="0"/>
          <w:sz w:val="24"/>
          <w:szCs w:val="24"/>
        </w:rPr>
        <w:t>.-</w:t>
      </w:r>
      <w:r>
        <w:rPr>
          <w:rFonts w:ascii="Arial" w:hAnsi="Arial" w:cs="Arial"/>
          <w:b w:val="0"/>
          <w:sz w:val="24"/>
          <w:szCs w:val="24"/>
        </w:rPr>
        <w:t>2027</w:t>
      </w:r>
      <w:r w:rsidR="00E8301A">
        <w:rPr>
          <w:rFonts w:ascii="Arial" w:hAnsi="Arial" w:cs="Arial"/>
          <w:b w:val="0"/>
          <w:sz w:val="24"/>
          <w:szCs w:val="24"/>
        </w:rPr>
        <w:t>.GOD.</w:t>
      </w:r>
    </w:p>
    <w:p w14:paraId="27C98D09" w14:textId="77777777" w:rsidR="00B83B53" w:rsidRPr="00511FA0" w:rsidRDefault="00B83B53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</w:p>
    <w:p w14:paraId="310B585D" w14:textId="77777777" w:rsidR="00E91848" w:rsidRPr="00511FA0" w:rsidRDefault="00E91848">
      <w:pPr>
        <w:pStyle w:val="Tijeloteksta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664"/>
        <w:gridCol w:w="764"/>
      </w:tblGrid>
      <w:tr w:rsidR="00E91848" w:rsidRPr="00511FA0" w14:paraId="13AC2457" w14:textId="77777777" w:rsidTr="00D643EF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77614F74" w:rsidR="00E91848" w:rsidRPr="00511FA0" w:rsidRDefault="00E34DE2" w:rsidP="00E34DE2">
            <w:pPr>
              <w:pStyle w:val="TableParagraph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Glava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5ABCDD68" w:rsidR="00E91848" w:rsidRPr="00511FA0" w:rsidRDefault="00E8669C" w:rsidP="00E34DE2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6112CA53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3BCA97E5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7CEBF3C3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2026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2E762E9D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2027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61E0585B" w:rsidR="00E91848" w:rsidRPr="00511FA0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1CB98190" w14:textId="02AF528D" w:rsidR="00E91848" w:rsidRPr="00511FA0" w:rsidRDefault="00E34DE2" w:rsidP="00E34DE2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="00E866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91848" w:rsidRPr="00511FA0" w14:paraId="3DB144E1" w14:textId="77777777" w:rsidTr="00D643EF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276F6AC1" w:rsidR="00E91848" w:rsidRPr="00511FA0" w:rsidRDefault="008E44E1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10985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43826A0A" w:rsidR="00E91848" w:rsidRPr="00511FA0" w:rsidRDefault="00E8669C" w:rsidP="00E34DE2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2.602.675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4491D79C" w:rsidR="00E91848" w:rsidRPr="00511FA0" w:rsidRDefault="00E8669C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2.949.040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4D6B85B1" w:rsidR="00E91848" w:rsidRPr="00511FA0" w:rsidRDefault="00E8669C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3.171.553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2CEE3EF3" w:rsidR="00E91848" w:rsidRPr="00511FA0" w:rsidRDefault="00E8669C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3.276.7</w:t>
            </w:r>
            <w:r w:rsidR="00CD40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3D2BB39F" w:rsidR="00E91848" w:rsidRPr="00511FA0" w:rsidRDefault="00E8669C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3.290.789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5510C5DC" w:rsidR="00E91848" w:rsidRPr="00511FA0" w:rsidRDefault="00E8669C" w:rsidP="00E34DE2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107,5</w:t>
            </w:r>
            <w:r w:rsidR="00B56B5F" w:rsidRPr="00511F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532E" w:rsidRPr="00511FA0" w14:paraId="7313106E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044C1078" w14:textId="4B4C7760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511FA0" w14:paraId="701B7B23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754F8C84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07CE8C2F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19E48DAA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1EEEA815" w:rsidR="0027064B" w:rsidRPr="00511FA0" w:rsidRDefault="0027064B" w:rsidP="0027064B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Unutar aktivnosti A642000 izvor 11</w:t>
      </w:r>
      <w:r w:rsidR="00E82736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-</w:t>
      </w:r>
      <w:r w:rsidR="00E82736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opći prihodi i primici osiguravaju se sredstva nužna za troš</w:t>
      </w:r>
      <w:r w:rsidR="002F679E">
        <w:rPr>
          <w:rFonts w:ascii="Arial" w:hAnsi="Arial" w:cs="Arial"/>
          <w:sz w:val="24"/>
          <w:szCs w:val="24"/>
        </w:rPr>
        <w:t>kove plaća i ostalih troškova 87</w:t>
      </w:r>
      <w:r w:rsidRPr="00511FA0">
        <w:rPr>
          <w:rFonts w:ascii="Arial" w:hAnsi="Arial" w:cs="Arial"/>
          <w:sz w:val="24"/>
          <w:szCs w:val="24"/>
        </w:rPr>
        <w:t xml:space="preserve"> zaposlenika Općinskog državnog odvjetništva u Osijeku. Također, na aktivnosti se planiraju sredstva za pokriće materijalnih rashoda koji nastaju u redovnom</w:t>
      </w:r>
      <w:r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poslovanju kao što su troškovi pošte, prijevoza, energije, uredskog materijala, službenih putovanja, intelektualnih usluga i</w:t>
      </w:r>
      <w:r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3F41D0" w:rsidRPr="00511FA0">
        <w:rPr>
          <w:rFonts w:ascii="Arial" w:hAnsi="Arial" w:cs="Arial"/>
          <w:sz w:val="24"/>
          <w:szCs w:val="24"/>
        </w:rPr>
        <w:t>ostalo prema stavkama plana.</w:t>
      </w:r>
    </w:p>
    <w:p w14:paraId="142D523D" w14:textId="4E692DA5" w:rsidR="00C44DD7" w:rsidRPr="00511FA0" w:rsidRDefault="00E86F2A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zaposlene</w:t>
      </w:r>
      <w:r w:rsidR="002F679E">
        <w:rPr>
          <w:rFonts w:ascii="Arial" w:hAnsi="Arial" w:cs="Arial"/>
          <w:sz w:val="24"/>
          <w:szCs w:val="24"/>
        </w:rPr>
        <w:t xml:space="preserve"> u 2025</w:t>
      </w:r>
      <w:r w:rsidR="00D75E8F" w:rsidRPr="00511FA0">
        <w:rPr>
          <w:rFonts w:ascii="Arial" w:hAnsi="Arial" w:cs="Arial"/>
          <w:sz w:val="24"/>
          <w:szCs w:val="24"/>
        </w:rPr>
        <w:t>. godini obuhva</w:t>
      </w:r>
      <w:r>
        <w:rPr>
          <w:rFonts w:ascii="Arial" w:hAnsi="Arial" w:cs="Arial"/>
          <w:sz w:val="24"/>
          <w:szCs w:val="24"/>
        </w:rPr>
        <w:t>ća 88,32</w:t>
      </w:r>
      <w:r w:rsidR="00C216B5">
        <w:rPr>
          <w:rFonts w:ascii="Arial" w:hAnsi="Arial" w:cs="Arial"/>
          <w:sz w:val="24"/>
          <w:szCs w:val="24"/>
        </w:rPr>
        <w:t xml:space="preserve">% ukupnoga </w:t>
      </w:r>
      <w:r w:rsidR="002F679E">
        <w:rPr>
          <w:rFonts w:ascii="Arial" w:hAnsi="Arial" w:cs="Arial"/>
          <w:sz w:val="24"/>
          <w:szCs w:val="24"/>
        </w:rPr>
        <w:t>plana, u 2026</w:t>
      </w:r>
      <w:r>
        <w:rPr>
          <w:rFonts w:ascii="Arial" w:hAnsi="Arial" w:cs="Arial"/>
          <w:sz w:val="24"/>
          <w:szCs w:val="24"/>
        </w:rPr>
        <w:t>. 88,27</w:t>
      </w:r>
      <w:r w:rsidR="00D75E8F" w:rsidRPr="00511FA0">
        <w:rPr>
          <w:rFonts w:ascii="Arial" w:hAnsi="Arial" w:cs="Arial"/>
          <w:sz w:val="24"/>
          <w:szCs w:val="24"/>
        </w:rPr>
        <w:t>% ukupno</w:t>
      </w:r>
      <w:r w:rsidR="00C216B5">
        <w:rPr>
          <w:rFonts w:ascii="Arial" w:hAnsi="Arial" w:cs="Arial"/>
          <w:sz w:val="24"/>
          <w:szCs w:val="24"/>
        </w:rPr>
        <w:t xml:space="preserve">ga plana te  </w:t>
      </w:r>
      <w:r>
        <w:rPr>
          <w:rFonts w:ascii="Arial" w:hAnsi="Arial" w:cs="Arial"/>
          <w:sz w:val="24"/>
          <w:szCs w:val="24"/>
        </w:rPr>
        <w:t>88,29</w:t>
      </w:r>
      <w:r w:rsidR="00A73B74">
        <w:rPr>
          <w:rFonts w:ascii="Arial" w:hAnsi="Arial" w:cs="Arial"/>
          <w:sz w:val="24"/>
          <w:szCs w:val="24"/>
        </w:rPr>
        <w:t xml:space="preserve">% ukupnog plana </w:t>
      </w:r>
      <w:r w:rsidR="002F679E">
        <w:rPr>
          <w:rFonts w:ascii="Arial" w:hAnsi="Arial" w:cs="Arial"/>
          <w:sz w:val="24"/>
          <w:szCs w:val="24"/>
        </w:rPr>
        <w:t>2027</w:t>
      </w:r>
      <w:r w:rsidR="00D75E8F" w:rsidRPr="00511FA0">
        <w:rPr>
          <w:rFonts w:ascii="Arial" w:hAnsi="Arial" w:cs="Arial"/>
          <w:sz w:val="24"/>
          <w:szCs w:val="24"/>
        </w:rPr>
        <w:t>. godine.</w:t>
      </w:r>
    </w:p>
    <w:p w14:paraId="4AD15AE1" w14:textId="77777777" w:rsidR="00D7190C" w:rsidRPr="00511FA0" w:rsidRDefault="00D7190C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</w:p>
    <w:p w14:paraId="67FD7BEA" w14:textId="1D93529E" w:rsidR="00C44DD7" w:rsidRPr="00511FA0" w:rsidRDefault="00E24DD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Plaće i doprinosi</w:t>
      </w:r>
      <w:r w:rsidR="00B47696" w:rsidRPr="00511FA0">
        <w:rPr>
          <w:rFonts w:ascii="Arial" w:hAnsi="Arial" w:cs="Arial"/>
          <w:sz w:val="24"/>
          <w:szCs w:val="24"/>
        </w:rPr>
        <w:t xml:space="preserve"> A642000 10985 Općinsko državno odvjetništvo u Osijeku</w:t>
      </w:r>
    </w:p>
    <w:p w14:paraId="05DF9566" w14:textId="77777777" w:rsidR="00B47696" w:rsidRPr="00511FA0" w:rsidRDefault="00B47696" w:rsidP="00C44DD7">
      <w:pPr>
        <w:pStyle w:val="Naslov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740"/>
        <w:gridCol w:w="1739"/>
        <w:gridCol w:w="1739"/>
        <w:gridCol w:w="1739"/>
        <w:gridCol w:w="1564"/>
        <w:gridCol w:w="793"/>
      </w:tblGrid>
      <w:tr w:rsidR="00B47696" w:rsidRPr="00511FA0" w14:paraId="1D33FD35" w14:textId="77777777" w:rsidTr="003E5F2A">
        <w:trPr>
          <w:trHeight w:val="892"/>
        </w:trPr>
        <w:tc>
          <w:tcPr>
            <w:tcW w:w="539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F5D6870" w14:textId="77777777" w:rsidR="00AB4B4D" w:rsidRDefault="00E24DD3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Plaće</w:t>
            </w:r>
          </w:p>
          <w:p w14:paraId="6B49EB33" w14:textId="1532CE8F" w:rsidR="003E5F2A" w:rsidRPr="00511FA0" w:rsidRDefault="003E5F2A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(311)</w:t>
            </w:r>
          </w:p>
        </w:tc>
        <w:tc>
          <w:tcPr>
            <w:tcW w:w="833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D0FBA4" w14:textId="190F20E8" w:rsidR="00B47696" w:rsidRPr="00511FA0" w:rsidRDefault="005A2EEC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527CA6" w14:textId="5BEAF923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884BD60" w14:textId="6E800C2A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761FA3F" w14:textId="5D826AC6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2026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CA0BB8" w14:textId="47333390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2027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6305A9A" w14:textId="0C97B16B" w:rsidR="00B47696" w:rsidRPr="00511FA0" w:rsidRDefault="00B47696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F2A">
              <w:rPr>
                <w:rFonts w:ascii="Arial" w:hAnsi="Arial" w:cs="Arial"/>
                <w:sz w:val="20"/>
                <w:szCs w:val="20"/>
              </w:rPr>
              <w:t>Inde</w:t>
            </w:r>
            <w:r w:rsidRPr="003E5F2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E5F2A">
              <w:rPr>
                <w:rFonts w:ascii="Arial" w:hAnsi="Arial" w:cs="Arial"/>
                <w:sz w:val="20"/>
                <w:szCs w:val="20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81087BC" w14:textId="27139746" w:rsidR="00B47696" w:rsidRPr="00511FA0" w:rsidRDefault="00B47696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="005A2E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7696" w:rsidRPr="00511FA0" w14:paraId="6449901E" w14:textId="77777777" w:rsidTr="003E5F2A">
        <w:trPr>
          <w:trHeight w:val="464"/>
        </w:trPr>
        <w:tc>
          <w:tcPr>
            <w:tcW w:w="539" w:type="pct"/>
            <w:tcBorders>
              <w:top w:val="single" w:sz="6" w:space="0" w:color="000000"/>
            </w:tcBorders>
            <w:vAlign w:val="center"/>
          </w:tcPr>
          <w:p w14:paraId="6E859FC9" w14:textId="50B298D1" w:rsidR="00B47696" w:rsidRPr="00511FA0" w:rsidRDefault="00B47696" w:rsidP="00171B33">
            <w:pPr>
              <w:pStyle w:val="TableParagraph"/>
              <w:spacing w:before="51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33" w:type="pct"/>
            <w:tcBorders>
              <w:top w:val="single" w:sz="6" w:space="0" w:color="000000"/>
            </w:tcBorders>
            <w:vAlign w:val="center"/>
          </w:tcPr>
          <w:p w14:paraId="174FD171" w14:textId="42A4186C" w:rsidR="00B47696" w:rsidRPr="00511FA0" w:rsidRDefault="005A2EEC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1.838.072</w:t>
            </w:r>
          </w:p>
        </w:tc>
        <w:tc>
          <w:tcPr>
            <w:tcW w:w="83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22936C" w14:textId="648DBFD5" w:rsidR="00B47696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2.163.000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E78FE" w14:textId="1F559190" w:rsidR="00B47696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2.327.269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46B2F" w14:textId="3ECD5EC3" w:rsidR="00B47696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E100D">
              <w:rPr>
                <w:rFonts w:ascii="Arial" w:hAnsi="Arial" w:cs="Arial"/>
                <w:sz w:val="24"/>
                <w:szCs w:val="24"/>
              </w:rPr>
              <w:t>.4</w:t>
            </w:r>
            <w:r>
              <w:rPr>
                <w:rFonts w:ascii="Arial" w:hAnsi="Arial" w:cs="Arial"/>
                <w:sz w:val="24"/>
                <w:szCs w:val="24"/>
              </w:rPr>
              <w:t>03.213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C0CBC8" w14:textId="3DA9CB42" w:rsidR="00B47696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2.419.140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568C1B" w14:textId="180569D3" w:rsidR="00B47696" w:rsidRPr="00511FA0" w:rsidRDefault="005A2EEC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AE100D">
              <w:rPr>
                <w:rFonts w:ascii="Arial" w:hAnsi="Arial" w:cs="Arial"/>
                <w:sz w:val="24"/>
                <w:szCs w:val="24"/>
              </w:rPr>
              <w:t>,6</w:t>
            </w:r>
            <w:r w:rsidR="003E5F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758" w:rsidRPr="00511FA0" w14:paraId="1723D066" w14:textId="77777777" w:rsidTr="003E5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795" w:type="pct"/>
          <w:trHeight w:val="300"/>
        </w:trPr>
        <w:tc>
          <w:tcPr>
            <w:tcW w:w="539" w:type="pct"/>
            <w:noWrap/>
          </w:tcPr>
          <w:p w14:paraId="0CC84744" w14:textId="070AC787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7A62AEF3" w14:textId="4378A97C" w:rsidR="00576758" w:rsidRPr="00511FA0" w:rsidRDefault="00576758" w:rsidP="0014420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36DEA9C6" w14:textId="0F4775A3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47696" w:rsidRPr="00511FA0" w14:paraId="27E91A51" w14:textId="77777777" w:rsidTr="003E5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795" w:type="pct"/>
          <w:trHeight w:val="300"/>
        </w:trPr>
        <w:tc>
          <w:tcPr>
            <w:tcW w:w="539" w:type="pct"/>
            <w:noWrap/>
          </w:tcPr>
          <w:p w14:paraId="752AC475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04BFBC7C" w14:textId="77777777" w:rsidR="00B47696" w:rsidRPr="00511FA0" w:rsidRDefault="00B47696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4AAE9DD0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71B33" w:rsidRPr="00511FA0" w14:paraId="5583D45A" w14:textId="77777777" w:rsidTr="003E5F2A">
        <w:trPr>
          <w:trHeight w:val="892"/>
        </w:trPr>
        <w:tc>
          <w:tcPr>
            <w:tcW w:w="539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592B068F" w14:textId="77777777" w:rsidR="00AB4B4D" w:rsidRDefault="00E24DD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Doprinosi</w:t>
            </w:r>
          </w:p>
          <w:p w14:paraId="48269A1D" w14:textId="4A5F81B0" w:rsidR="003E5F2A" w:rsidRPr="00511FA0" w:rsidRDefault="003E5F2A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(313)</w:t>
            </w:r>
          </w:p>
        </w:tc>
        <w:tc>
          <w:tcPr>
            <w:tcW w:w="833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BF313BE" w14:textId="394DE04E" w:rsidR="00171B33" w:rsidRPr="00511FA0" w:rsidRDefault="005A2EEC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7492543" w14:textId="61E059AA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C272886" w14:textId="4343E926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4A6477" w14:textId="100959A9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2026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1FCDD28" w14:textId="1CF37C2F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2027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CBD1CA6" w14:textId="6F3936D8" w:rsidR="00171B33" w:rsidRPr="00511FA0" w:rsidRDefault="00171B33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F2A">
              <w:rPr>
                <w:rFonts w:ascii="Arial" w:hAnsi="Arial" w:cs="Arial"/>
                <w:sz w:val="20"/>
                <w:szCs w:val="20"/>
              </w:rPr>
              <w:t>Inde</w:t>
            </w:r>
            <w:r w:rsidRPr="003E5F2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E5F2A">
              <w:rPr>
                <w:rFonts w:ascii="Arial" w:hAnsi="Arial" w:cs="Arial"/>
                <w:sz w:val="20"/>
                <w:szCs w:val="20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A2EE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E00F356" w14:textId="3B3FF2BB" w:rsidR="00171B33" w:rsidRPr="00511FA0" w:rsidRDefault="00171B33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="005A2EEC">
              <w:rPr>
                <w:rFonts w:ascii="Arial" w:hAnsi="Arial" w:cs="Arial"/>
                <w:spacing w:val="-48"/>
                <w:sz w:val="24"/>
                <w:szCs w:val="24"/>
              </w:rPr>
              <w:t>4</w:t>
            </w:r>
          </w:p>
        </w:tc>
      </w:tr>
      <w:tr w:rsidR="00171B33" w:rsidRPr="00511FA0" w14:paraId="69470F4E" w14:textId="77777777" w:rsidTr="003E5F2A">
        <w:trPr>
          <w:trHeight w:val="464"/>
        </w:trPr>
        <w:tc>
          <w:tcPr>
            <w:tcW w:w="539" w:type="pct"/>
            <w:tcBorders>
              <w:top w:val="single" w:sz="6" w:space="0" w:color="000000"/>
            </w:tcBorders>
            <w:vAlign w:val="center"/>
          </w:tcPr>
          <w:p w14:paraId="3D765DAF" w14:textId="77777777" w:rsidR="00171B33" w:rsidRPr="00511FA0" w:rsidRDefault="00171B33" w:rsidP="00171B33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33" w:type="pct"/>
            <w:tcBorders>
              <w:top w:val="single" w:sz="6" w:space="0" w:color="000000"/>
            </w:tcBorders>
            <w:vAlign w:val="center"/>
          </w:tcPr>
          <w:p w14:paraId="00F4C604" w14:textId="1C3D5F49" w:rsidR="00171B33" w:rsidRPr="00511FA0" w:rsidRDefault="005A2EEC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308.123</w:t>
            </w:r>
          </w:p>
        </w:tc>
        <w:tc>
          <w:tcPr>
            <w:tcW w:w="83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5D26D9" w14:textId="57E064DF" w:rsidR="00171B33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367.792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A830CC" w14:textId="0B021B79" w:rsidR="00171B33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400.199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4B881" w14:textId="6645D377" w:rsidR="00171B33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416.172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7281E" w14:textId="4D92AEED" w:rsidR="00171B33" w:rsidRPr="00511FA0" w:rsidRDefault="005A2EE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413.439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49AFF76" w14:textId="6FE72C6D" w:rsidR="00171B33" w:rsidRPr="00511FA0" w:rsidRDefault="005A2EEC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188,8</w:t>
            </w:r>
            <w:r w:rsidR="003B6FA9" w:rsidRPr="00511F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1B33" w:rsidRPr="00511FA0" w14:paraId="2F05F7B2" w14:textId="77777777" w:rsidTr="003E5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795" w:type="pct"/>
          <w:trHeight w:val="361"/>
        </w:trPr>
        <w:tc>
          <w:tcPr>
            <w:tcW w:w="539" w:type="pct"/>
            <w:noWrap/>
          </w:tcPr>
          <w:p w14:paraId="41033FF7" w14:textId="77777777" w:rsidR="00AB4B4D" w:rsidRPr="00511FA0" w:rsidRDefault="00AB4B4D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232170" w14:textId="77777777" w:rsidR="00AB4B4D" w:rsidRPr="00511FA0" w:rsidRDefault="00AB4B4D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6CC6BA6C" w14:textId="77777777" w:rsidR="00171B33" w:rsidRPr="00511FA0" w:rsidRDefault="00171B33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1EEAC14A" w14:textId="77777777" w:rsidR="00171B33" w:rsidRPr="00511FA0" w:rsidRDefault="00171B33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2D4F" w:rsidRPr="00511FA0" w14:paraId="220651F5" w14:textId="77777777" w:rsidTr="003E5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795" w:type="pct"/>
          <w:trHeight w:val="361"/>
        </w:trPr>
        <w:tc>
          <w:tcPr>
            <w:tcW w:w="539" w:type="pct"/>
            <w:noWrap/>
          </w:tcPr>
          <w:p w14:paraId="6782E830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241C998D" w14:textId="77777777" w:rsidR="00DD2D4F" w:rsidRPr="00511FA0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783B7708" w14:textId="77777777" w:rsidR="00DD2D4F" w:rsidRPr="00511FA0" w:rsidRDefault="00DD2D4F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390EC6D6" w14:textId="77777777" w:rsidR="00DD2D4F" w:rsidRDefault="00DD2D4F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1C5272AF" w14:textId="00863E40" w:rsidR="00E50CC0" w:rsidRPr="00511FA0" w:rsidRDefault="00E50CC0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50CC0" w:rsidRPr="00511FA0" w14:paraId="209EF3A1" w14:textId="77777777" w:rsidTr="003E5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795" w:type="pct"/>
          <w:trHeight w:val="361"/>
        </w:trPr>
        <w:tc>
          <w:tcPr>
            <w:tcW w:w="539" w:type="pct"/>
            <w:noWrap/>
          </w:tcPr>
          <w:p w14:paraId="077BDAA5" w14:textId="77777777" w:rsidR="00E50CC0" w:rsidRDefault="00E50CC0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10FF359" w14:textId="77777777" w:rsidR="00E50CC0" w:rsidRDefault="00E50CC0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5B141893" w14:textId="1FF6FB35" w:rsidR="00E50CC0" w:rsidRDefault="00E50CC0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2CFFAA54" w14:textId="77777777" w:rsidR="00E50CC0" w:rsidRPr="00511FA0" w:rsidRDefault="00E50CC0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3" w:type="pct"/>
            <w:noWrap/>
          </w:tcPr>
          <w:p w14:paraId="673613B5" w14:textId="77777777" w:rsidR="00E50CC0" w:rsidRDefault="00E50CC0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2FC29E7" w14:textId="579C60FC" w:rsidR="00171B33" w:rsidRDefault="00171B3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>Obrazloženja</w:t>
      </w:r>
      <w:r w:rsidR="007D28C3" w:rsidRPr="00511FA0">
        <w:rPr>
          <w:rFonts w:ascii="Arial" w:hAnsi="Arial" w:cs="Arial"/>
          <w:sz w:val="24"/>
          <w:szCs w:val="24"/>
        </w:rPr>
        <w:t xml:space="preserve"> financijskog plana i postupak izračuna</w:t>
      </w:r>
      <w:r w:rsidR="00E8301A">
        <w:rPr>
          <w:rFonts w:ascii="Arial" w:hAnsi="Arial" w:cs="Arial"/>
          <w:sz w:val="24"/>
          <w:szCs w:val="24"/>
        </w:rPr>
        <w:t xml:space="preserve"> za plaće i doprinose  2025</w:t>
      </w:r>
      <w:r w:rsidRPr="00511FA0">
        <w:rPr>
          <w:rFonts w:ascii="Arial" w:hAnsi="Arial" w:cs="Arial"/>
          <w:sz w:val="24"/>
          <w:szCs w:val="24"/>
        </w:rPr>
        <w:t>.</w:t>
      </w:r>
    </w:p>
    <w:p w14:paraId="25418854" w14:textId="31EBF611" w:rsidR="005B707D" w:rsidRDefault="005B707D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1659E466" w14:textId="77777777" w:rsidR="005B3322" w:rsidRDefault="005B707D" w:rsidP="005B332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B707D">
        <w:rPr>
          <w:rFonts w:ascii="Arial" w:hAnsi="Arial" w:cs="Arial"/>
          <w:color w:val="000000"/>
          <w:sz w:val="24"/>
          <w:szCs w:val="24"/>
          <w:lang w:eastAsia="hr-HR"/>
        </w:rPr>
        <w:t>O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DO  u Osijeku na zapošljava 33 dužnosnika (1 ODO i 32 ZODO), 50 službenika te 4 namještenika što je ukupno 87</w:t>
      </w:r>
      <w:r w:rsidRPr="005B707D">
        <w:rPr>
          <w:rFonts w:ascii="Arial" w:hAnsi="Arial" w:cs="Arial"/>
          <w:color w:val="000000"/>
          <w:sz w:val="24"/>
          <w:szCs w:val="24"/>
          <w:lang w:eastAsia="hr-HR"/>
        </w:rPr>
        <w:t xml:space="preserve"> zapos</w:t>
      </w:r>
      <w:r w:rsidR="00273F71">
        <w:rPr>
          <w:rFonts w:ascii="Arial" w:hAnsi="Arial" w:cs="Arial"/>
          <w:color w:val="000000"/>
          <w:sz w:val="24"/>
          <w:szCs w:val="24"/>
          <w:lang w:eastAsia="hr-HR"/>
        </w:rPr>
        <w:t xml:space="preserve">lenih. Ukupan bruto iznos bazne </w:t>
      </w:r>
      <w:r w:rsidRPr="005B707D">
        <w:rPr>
          <w:rFonts w:ascii="Arial" w:hAnsi="Arial" w:cs="Arial"/>
          <w:color w:val="000000"/>
          <w:sz w:val="24"/>
          <w:szCs w:val="24"/>
          <w:lang w:eastAsia="hr-HR"/>
        </w:rPr>
        <w:t xml:space="preserve"> plaće</w:t>
      </w:r>
      <w:r w:rsidR="00273F71">
        <w:rPr>
          <w:rFonts w:ascii="Arial" w:hAnsi="Arial" w:cs="Arial"/>
          <w:color w:val="000000"/>
          <w:sz w:val="24"/>
          <w:szCs w:val="24"/>
          <w:lang w:eastAsia="hr-HR"/>
        </w:rPr>
        <w:t xml:space="preserve"> za izradu planova</w:t>
      </w:r>
      <w:r w:rsidRPr="005B707D">
        <w:rPr>
          <w:rFonts w:ascii="Arial" w:hAnsi="Arial" w:cs="Arial"/>
          <w:color w:val="000000"/>
          <w:sz w:val="24"/>
          <w:szCs w:val="24"/>
          <w:lang w:eastAsia="hr-HR"/>
        </w:rPr>
        <w:t xml:space="preserve"> isplaćene iznosi 210.09</w:t>
      </w:r>
      <w:r w:rsidR="00273F71">
        <w:rPr>
          <w:rFonts w:ascii="Arial" w:hAnsi="Arial" w:cs="Arial"/>
          <w:color w:val="000000"/>
          <w:sz w:val="24"/>
          <w:szCs w:val="24"/>
          <w:lang w:eastAsia="hr-HR"/>
        </w:rPr>
        <w:t>2,95 EUR-a</w:t>
      </w:r>
      <w:r w:rsidR="003161BD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4A364D5F" w14:textId="36C3F34F" w:rsidR="005B3322" w:rsidRDefault="003161BD" w:rsidP="005B332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</w:t>
      </w:r>
      <w:r w:rsidR="005B707D" w:rsidRPr="005B707D">
        <w:rPr>
          <w:rFonts w:ascii="Arial" w:hAnsi="Arial" w:cs="Arial"/>
          <w:color w:val="000000"/>
          <w:sz w:val="24"/>
          <w:szCs w:val="24"/>
          <w:lang w:eastAsia="hr-HR"/>
        </w:rPr>
        <w:t>rema zahtjevu P-32/2024-1 od 15. svibnja 2024. Upravi za služb</w:t>
      </w:r>
      <w:r w:rsidR="00273F71">
        <w:rPr>
          <w:rFonts w:ascii="Arial" w:hAnsi="Arial" w:cs="Arial"/>
          <w:color w:val="000000"/>
          <w:sz w:val="24"/>
          <w:szCs w:val="24"/>
          <w:lang w:eastAsia="hr-HR"/>
        </w:rPr>
        <w:t>e</w:t>
      </w:r>
      <w:r w:rsidR="005B707D" w:rsidRPr="005B707D">
        <w:rPr>
          <w:rFonts w:ascii="Arial" w:hAnsi="Arial" w:cs="Arial"/>
          <w:color w:val="000000"/>
          <w:sz w:val="24"/>
          <w:szCs w:val="24"/>
          <w:lang w:eastAsia="hr-HR"/>
        </w:rPr>
        <w:t>nički sustav upućen je zahtjev za pet izvršitelja na neodređeno vrijeme na radnim mjestima zapisničara u tijelima sudbene vlasti,</w:t>
      </w:r>
      <w:r w:rsidR="005B707D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B707D" w:rsidRPr="005B707D">
        <w:rPr>
          <w:rFonts w:ascii="Arial" w:hAnsi="Arial" w:cs="Arial"/>
          <w:color w:val="000000"/>
          <w:sz w:val="24"/>
          <w:szCs w:val="24"/>
          <w:lang w:eastAsia="hr-HR"/>
        </w:rPr>
        <w:t>te se zapošljavanje istih očekuje nakon osiguranja financijskih sredstva prilikom rebalansa u 2024. godini. Iznos ove projekcije iznosi 9.000,00 eura. Ukupan trošak bruto plaća bi prema prethodno nav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edenim projekcijama na godišnjoj</w:t>
      </w:r>
      <w:r w:rsidR="005B707D" w:rsidRPr="005B707D">
        <w:rPr>
          <w:rFonts w:ascii="Arial" w:hAnsi="Arial" w:cs="Arial"/>
          <w:color w:val="000000"/>
          <w:sz w:val="24"/>
          <w:szCs w:val="24"/>
          <w:lang w:eastAsia="hr-HR"/>
        </w:rPr>
        <w:t xml:space="preserve"> razini za 2025. godinu trebao iznositi  2.779.871,00 EUR-a (stavka 311). </w:t>
      </w:r>
    </w:p>
    <w:p w14:paraId="35040E52" w14:textId="41E0A949" w:rsidR="005B3322" w:rsidRDefault="005B707D" w:rsidP="005B332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B707D">
        <w:rPr>
          <w:rFonts w:ascii="Arial" w:hAnsi="Arial" w:cs="Arial"/>
          <w:color w:val="000000"/>
          <w:sz w:val="24"/>
          <w:szCs w:val="24"/>
          <w:lang w:eastAsia="hr-HR"/>
        </w:rPr>
        <w:t>Pripadajući doprinosi za zdravstveno osiguranja su iskazani u iznosu od 456.397,00 EUR-a na stavci 3132.</w:t>
      </w:r>
    </w:p>
    <w:p w14:paraId="62CB349A" w14:textId="77777777" w:rsidR="00C465D7" w:rsidRDefault="00C465D7" w:rsidP="005B332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379D31F" w14:textId="2DCADA81" w:rsidR="005B3322" w:rsidRDefault="005B3322" w:rsidP="005B3322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Na stavci 3131 doprinosi za mirovinsko osiguranje iskazani su zbog najavljenih odlazaka u mirovinu zamjenika koji ostvaruju pravo na isplatu beneficiranog staža u razdoblju od 2011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-2018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te ukupno iznose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16.200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EUR.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Za iste su doprinose planirane i zatezne kamate na stavci 3433.</w:t>
      </w:r>
    </w:p>
    <w:p w14:paraId="444BC8A9" w14:textId="3412F310" w:rsidR="005B707D" w:rsidRDefault="005B3322" w:rsidP="005B3322">
      <w:pPr>
        <w:pStyle w:val="Naslov2"/>
        <w:ind w:left="0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lang w:eastAsia="hr-H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eastAsia="hr-HR"/>
        </w:rPr>
        <w:t xml:space="preserve">Prema izračunima na stavci plaća biti će potrebno pri rebalansu tijekom 2025. godine iskazati nedostatna sredstva u približno projiciranom iznosu od dvije prosječene mjesečne bruto plaće na bazi ukupnog broja zaposlenih. </w:t>
      </w:r>
    </w:p>
    <w:p w14:paraId="560373C5" w14:textId="0BAF0463" w:rsidR="005B3322" w:rsidRDefault="005B3322" w:rsidP="005B3322">
      <w:pPr>
        <w:pStyle w:val="Naslov2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eastAsia="hr-HR"/>
        </w:rPr>
        <w:t>Zbog zadanih limita proračuna na skupini 31 istu stav</w:t>
      </w:r>
      <w:r w:rsidR="00C465D7">
        <w:rPr>
          <w:rFonts w:ascii="Arial" w:hAnsi="Arial" w:cs="Arial"/>
          <w:b w:val="0"/>
          <w:bCs w:val="0"/>
          <w:color w:val="000000"/>
          <w:sz w:val="24"/>
          <w:szCs w:val="24"/>
          <w:lang w:eastAsia="hr-HR"/>
        </w:rPr>
        <w:t>ku nismo mogli potrebno uvećati i ona iznosi 2.801.218,00 EUR-a uključujući ostale rashode za zaposlene i doprinose.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lang w:eastAsia="hr-HR"/>
        </w:rPr>
        <w:t xml:space="preserve"> Stavka 3113 prekovremenog rada projicirana je prema dosadašnjoj dinamici troškova u iznosu od 20.000,00 EUR-a na godišnjoj razini uzevši u obzir i novi Pravilni o naknadama dežurstva za pravosudne dužnosnike.</w:t>
      </w:r>
    </w:p>
    <w:p w14:paraId="38550A00" w14:textId="6BC55BEE" w:rsidR="005B707D" w:rsidRDefault="005B707D" w:rsidP="005B3322">
      <w:pPr>
        <w:pStyle w:val="Naslov2"/>
        <w:ind w:left="0"/>
        <w:jc w:val="both"/>
        <w:rPr>
          <w:rFonts w:ascii="Arial" w:hAnsi="Arial" w:cs="Arial"/>
          <w:sz w:val="24"/>
          <w:szCs w:val="24"/>
        </w:rPr>
      </w:pPr>
    </w:p>
    <w:p w14:paraId="34EF4B04" w14:textId="69A4FE60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9925FF">
        <w:rPr>
          <w:rFonts w:ascii="Arial" w:hAnsi="Arial" w:cs="Arial"/>
          <w:sz w:val="24"/>
          <w:szCs w:val="24"/>
        </w:rPr>
        <w:t xml:space="preserve"> za plaće i doprinose  2026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60E8ACC0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3D142DFF" w14:textId="750CF7E0" w:rsidR="00171B33" w:rsidRPr="00511FA0" w:rsidRDefault="00C465D7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Projekcija plaće za 2026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>. godinu rađen</w:t>
      </w:r>
      <w:r w:rsidR="002C2156">
        <w:rPr>
          <w:rFonts w:ascii="Arial" w:hAnsi="Arial" w:cs="Arial"/>
          <w:color w:val="000000"/>
          <w:sz w:val="24"/>
          <w:szCs w:val="24"/>
          <w:lang w:eastAsia="hr-HR"/>
        </w:rPr>
        <w:t>a je prema limitima na skupini 31.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 Te je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ista stavka 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uvećana samo za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91.167,00 EUR-a u odnosu na 2025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. godinu. Isti iznos je također nedostatan uspoređujući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baznu plaću za projekciju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>., te će ga biti potrebno korigirati pri sljedećim utvrđivanjima limita.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Stavka plaće 311 iznosi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2.403.213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 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 pripadajućim doprinosima od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416.172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iskazanima na stavci 313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>. Pravo na isplatu doprinosa za staž osiguranja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 s povećanim trajanjem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planirano je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u iznosu od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19.642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="00171B33" w:rsidRPr="00511FA0">
        <w:rPr>
          <w:rFonts w:ascii="Arial" w:hAnsi="Arial" w:cs="Arial"/>
          <w:color w:val="000000"/>
          <w:sz w:val="24"/>
          <w:szCs w:val="24"/>
          <w:lang w:eastAsia="hr-HR"/>
        </w:rPr>
        <w:t>.</w:t>
      </w:r>
    </w:p>
    <w:p w14:paraId="3E2ECD2A" w14:textId="77777777" w:rsidR="00E12AFF" w:rsidRPr="00511FA0" w:rsidRDefault="00E12AFF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A95A799" w14:textId="77777777" w:rsidR="00171B33" w:rsidRPr="00511FA0" w:rsidRDefault="00171B3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2725309" w14:textId="51163DF6" w:rsidR="00477E19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986EA4">
        <w:rPr>
          <w:rFonts w:ascii="Arial" w:hAnsi="Arial" w:cs="Arial"/>
          <w:sz w:val="24"/>
          <w:szCs w:val="24"/>
        </w:rPr>
        <w:t xml:space="preserve"> za plaće i dopri</w:t>
      </w:r>
      <w:r w:rsidR="009925FF">
        <w:rPr>
          <w:rFonts w:ascii="Arial" w:hAnsi="Arial" w:cs="Arial"/>
          <w:sz w:val="24"/>
          <w:szCs w:val="24"/>
        </w:rPr>
        <w:t>nose  2027</w:t>
      </w:r>
      <w:r w:rsidR="00477E19" w:rsidRPr="00511FA0">
        <w:rPr>
          <w:rFonts w:ascii="Arial" w:hAnsi="Arial" w:cs="Arial"/>
          <w:sz w:val="24"/>
          <w:szCs w:val="24"/>
        </w:rPr>
        <w:t>.</w:t>
      </w:r>
    </w:p>
    <w:p w14:paraId="5547536B" w14:textId="77777777" w:rsidR="00986EA4" w:rsidRPr="00511FA0" w:rsidRDefault="00986EA4" w:rsidP="002E6669">
      <w:pPr>
        <w:pStyle w:val="Naslov2"/>
        <w:ind w:left="0"/>
        <w:rPr>
          <w:rFonts w:ascii="Arial" w:hAnsi="Arial" w:cs="Arial"/>
          <w:sz w:val="24"/>
          <w:szCs w:val="24"/>
        </w:rPr>
      </w:pPr>
    </w:p>
    <w:p w14:paraId="4A73D895" w14:textId="1BF375A7" w:rsidR="00986EA4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Projekcija plaće za 2027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>. godinu rađen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>a je prema limitima na skup</w:t>
      </w:r>
      <w:r w:rsidR="00730449">
        <w:rPr>
          <w:rFonts w:ascii="Arial" w:hAnsi="Arial" w:cs="Arial"/>
          <w:color w:val="000000"/>
          <w:sz w:val="24"/>
          <w:szCs w:val="24"/>
          <w:lang w:eastAsia="hr-HR"/>
        </w:rPr>
        <w:t>ini 31. Te je uvećana</w:t>
      </w: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 za 104.361,00 EUR-a u odnosu na 2025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. godinu. Isti iznos je također nedostatan uspoređujući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baznu plaću za projekcije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>., te će ga biti potrebno korigirati pri sljedećim utvrđivanjima limita.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Stavka plaće 311 iznosi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2.419.140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  s pripadajućim doprinosima 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za obvezno zdravstveno osiguranje 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od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399.158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 iskazanima na stavci 3132. Pravo na isplatu doprinosa za staž osiguranja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 xml:space="preserve"> s povećanim trajanjem </w:t>
      </w:r>
      <w:r w:rsidR="00730449">
        <w:rPr>
          <w:rFonts w:ascii="Arial" w:hAnsi="Arial" w:cs="Arial"/>
          <w:color w:val="000000"/>
          <w:sz w:val="24"/>
          <w:szCs w:val="24"/>
          <w:lang w:eastAsia="hr-HR"/>
        </w:rPr>
        <w:t xml:space="preserve">planirano je 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u iznosu od </w:t>
      </w:r>
      <w:r w:rsidR="00730449">
        <w:rPr>
          <w:rFonts w:ascii="Arial" w:hAnsi="Arial" w:cs="Arial"/>
          <w:color w:val="000000"/>
          <w:sz w:val="24"/>
          <w:szCs w:val="24"/>
          <w:lang w:eastAsia="hr-HR"/>
        </w:rPr>
        <w:t>14.281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EUR</w:t>
      </w:r>
      <w:r w:rsidR="00986EA4">
        <w:rPr>
          <w:rFonts w:ascii="Arial" w:hAnsi="Arial" w:cs="Arial"/>
          <w:color w:val="000000"/>
          <w:sz w:val="24"/>
          <w:szCs w:val="24"/>
          <w:lang w:eastAsia="hr-HR"/>
        </w:rPr>
        <w:t>-a</w:t>
      </w:r>
      <w:r w:rsidR="00986EA4" w:rsidRPr="00511FA0">
        <w:rPr>
          <w:rFonts w:ascii="Arial" w:hAnsi="Arial" w:cs="Arial"/>
          <w:color w:val="000000"/>
          <w:sz w:val="24"/>
          <w:szCs w:val="24"/>
          <w:lang w:eastAsia="hr-HR"/>
        </w:rPr>
        <w:t>.</w:t>
      </w:r>
    </w:p>
    <w:p w14:paraId="27AE9EB9" w14:textId="71D1A563" w:rsidR="00C465D7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2C2C8D2" w14:textId="31F475FB" w:rsidR="00C465D7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A5EDC15" w14:textId="1E592525" w:rsidR="00C465D7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CF2AD85" w14:textId="73D1817E" w:rsidR="00C465D7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761C738" w14:textId="77777777" w:rsidR="00C465D7" w:rsidRPr="00511FA0" w:rsidRDefault="00C465D7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948B4A7" w14:textId="77777777" w:rsidR="00986EA4" w:rsidRPr="00511FA0" w:rsidRDefault="00986EA4" w:rsidP="00986EA4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C2D4DF1" w14:textId="4FC9D7B5" w:rsidR="002E6669" w:rsidRPr="00511FA0" w:rsidRDefault="003455A3" w:rsidP="003455A3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 xml:space="preserve">Obrazloženja financijskog plana i postupak izračuna za </w:t>
      </w:r>
      <w:r w:rsidR="00022B9C">
        <w:rPr>
          <w:rFonts w:ascii="Arial" w:hAnsi="Arial" w:cs="Arial"/>
          <w:sz w:val="24"/>
          <w:szCs w:val="24"/>
        </w:rPr>
        <w:t>ostale rashode za zaposlene 2025.-2027</w:t>
      </w:r>
      <w:r w:rsidRPr="00511FA0">
        <w:rPr>
          <w:rFonts w:ascii="Arial" w:hAnsi="Arial" w:cs="Arial"/>
          <w:sz w:val="24"/>
          <w:szCs w:val="24"/>
        </w:rPr>
        <w:t>.</w:t>
      </w:r>
    </w:p>
    <w:p w14:paraId="5A4B8DFE" w14:textId="77777777" w:rsidR="00171B33" w:rsidRPr="00511FA0" w:rsidRDefault="00171B33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75"/>
        <w:gridCol w:w="1727"/>
        <w:gridCol w:w="1520"/>
        <w:gridCol w:w="1672"/>
        <w:gridCol w:w="1525"/>
        <w:gridCol w:w="1298"/>
      </w:tblGrid>
      <w:tr w:rsidR="004D784B" w:rsidRPr="00511FA0" w14:paraId="5F80A218" w14:textId="77777777" w:rsidTr="00022B9C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9A301A0" w14:textId="222D0101" w:rsidR="00477E19" w:rsidRPr="00511FA0" w:rsidRDefault="003455A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8229A0" w14:textId="7A9B28E1" w:rsidR="00477E19" w:rsidRPr="00511FA0" w:rsidRDefault="00022B9C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5839213" w14:textId="3511821C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22B9C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387D086" w14:textId="79C3A35F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22B9C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C57748D" w14:textId="627C34AB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53">
              <w:rPr>
                <w:rFonts w:ascii="Arial" w:hAnsi="Arial" w:cs="Arial"/>
              </w:rPr>
              <w:t>Projekcija</w:t>
            </w:r>
            <w:r w:rsidR="00477E19" w:rsidRPr="00B83B53">
              <w:rPr>
                <w:rFonts w:ascii="Arial" w:hAnsi="Arial" w:cs="Arial"/>
                <w:spacing w:val="-1"/>
              </w:rPr>
              <w:t xml:space="preserve"> </w:t>
            </w:r>
            <w:r w:rsidR="00022B9C">
              <w:rPr>
                <w:rFonts w:ascii="Arial" w:hAnsi="Arial" w:cs="Arial"/>
              </w:rPr>
              <w:t>2026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21F3730" w14:textId="7793CD47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B53">
              <w:rPr>
                <w:rFonts w:ascii="Arial" w:hAnsi="Arial" w:cs="Arial"/>
              </w:rPr>
              <w:t>Projekcija</w:t>
            </w:r>
            <w:r w:rsidR="00022B9C">
              <w:rPr>
                <w:rFonts w:ascii="Arial" w:hAnsi="Arial" w:cs="Arial"/>
              </w:rPr>
              <w:t>2027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29510EB" w14:textId="59EBDE6D" w:rsidR="00477E19" w:rsidRPr="00511FA0" w:rsidRDefault="00477E19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22B9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BB6D119" w14:textId="0257AACD" w:rsidR="00477E19" w:rsidRPr="00511FA0" w:rsidRDefault="00477E19" w:rsidP="004D784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="00022B9C">
              <w:rPr>
                <w:rFonts w:ascii="Arial" w:hAnsi="Arial" w:cs="Arial"/>
                <w:spacing w:val="-48"/>
                <w:sz w:val="24"/>
                <w:szCs w:val="24"/>
              </w:rPr>
              <w:t>4</w:t>
            </w:r>
          </w:p>
        </w:tc>
      </w:tr>
      <w:tr w:rsidR="004D784B" w:rsidRPr="00511FA0" w14:paraId="256B4EC1" w14:textId="77777777" w:rsidTr="00022B9C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64D74FDA" w14:textId="77777777" w:rsidR="00477E19" w:rsidRPr="00511FA0" w:rsidRDefault="00477E19" w:rsidP="00AA003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31F55EF" w14:textId="49CC8D7C" w:rsidR="00477E19" w:rsidRPr="00511FA0" w:rsidRDefault="00022B9C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47.610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4306F57" w14:textId="5E752B49" w:rsidR="00477E19" w:rsidRPr="00511FA0" w:rsidRDefault="00022B9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59.988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2C3B50" w14:textId="6B4CAA4C" w:rsidR="00477E19" w:rsidRPr="00511FA0" w:rsidRDefault="00022B9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73.750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5CAD" w14:textId="6B9EDE27" w:rsidR="00477E19" w:rsidRPr="00511FA0" w:rsidRDefault="00022B9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AC5947" w14:textId="0177BCB9" w:rsidR="00477E19" w:rsidRPr="00511FA0" w:rsidRDefault="00022B9C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4E9B901" w14:textId="72FEC88D" w:rsidR="00477E19" w:rsidRPr="00511FA0" w:rsidRDefault="00022B9C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122,9</w:t>
            </w:r>
            <w:r w:rsidR="000B2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7E19" w:rsidRPr="00511FA0" w14:paraId="18E353D5" w14:textId="77777777" w:rsidTr="004D7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901" w:type="pct"/>
          <w:trHeight w:val="314"/>
        </w:trPr>
        <w:tc>
          <w:tcPr>
            <w:tcW w:w="455" w:type="pct"/>
            <w:noWrap/>
          </w:tcPr>
          <w:p w14:paraId="20B91177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0A40651E" w14:textId="77777777" w:rsidR="00477E19" w:rsidRPr="00511FA0" w:rsidRDefault="00477E19" w:rsidP="00B21C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10" w:type="pct"/>
            <w:noWrap/>
          </w:tcPr>
          <w:p w14:paraId="6373E459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5" w:type="pct"/>
            <w:noWrap/>
          </w:tcPr>
          <w:p w14:paraId="700C09DD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19D42CD" w14:textId="3C62E1F7" w:rsidR="005F0363" w:rsidRDefault="005F0363" w:rsidP="005F0363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lang w:eastAsia="hr-HR"/>
        </w:rPr>
        <w:fldChar w:fldCharType="begin"/>
      </w:r>
      <w:r>
        <w:rPr>
          <w:lang w:eastAsia="hr-HR"/>
        </w:rPr>
        <w:instrText xml:space="preserve"> LINK </w:instrText>
      </w:r>
      <w:r w:rsidR="00200072">
        <w:rPr>
          <w:lang w:eastAsia="hr-HR"/>
        </w:rPr>
        <w:instrText xml:space="preserve">Excel.Sheet.12 "C:\\Users\\tbrisevac\\Desktop\\ODO U OSIJEKU-PRIJEDLOG PLANA 2025-2027\\OBRAZLOŽENJE 2025. - 2027. (1).XLSX" 2025.!R5C2 </w:instrText>
      </w:r>
      <w:r>
        <w:rPr>
          <w:lang w:eastAsia="hr-HR"/>
        </w:rPr>
        <w:instrText xml:space="preserve">\a \f 4 \h  \* MERGEFORMAT </w:instrText>
      </w:r>
      <w:r>
        <w:rPr>
          <w:lang w:eastAsia="hr-HR"/>
        </w:rPr>
        <w:fldChar w:fldCharType="separate"/>
      </w:r>
      <w:r w:rsidRPr="005F0363">
        <w:rPr>
          <w:rFonts w:ascii="Arial" w:hAnsi="Arial" w:cs="Arial"/>
          <w:sz w:val="24"/>
          <w:szCs w:val="24"/>
          <w:lang w:eastAsia="hr-HR"/>
        </w:rPr>
        <w:t xml:space="preserve">Zakonom  o plaći i drugim materijalnim pravima pravosudnih dužnosnika (N.N. 35/24), dužnosnici od 01. travnja 2024. također kao i službenici iz prava Kolektivnog ugovora za državne službenike i namještenike,  ostvaruju pravo na regres, božićnicu, </w:t>
      </w:r>
      <w:proofErr w:type="spellStart"/>
      <w:r w:rsidRPr="005F0363">
        <w:rPr>
          <w:rFonts w:ascii="Arial" w:hAnsi="Arial" w:cs="Arial"/>
          <w:sz w:val="24"/>
          <w:szCs w:val="24"/>
          <w:lang w:eastAsia="hr-HR"/>
        </w:rPr>
        <w:t>uskrsnicu</w:t>
      </w:r>
      <w:proofErr w:type="spellEnd"/>
      <w:r w:rsidRPr="005F0363">
        <w:rPr>
          <w:rFonts w:ascii="Arial" w:hAnsi="Arial" w:cs="Arial"/>
          <w:sz w:val="24"/>
          <w:szCs w:val="24"/>
          <w:lang w:eastAsia="hr-HR"/>
        </w:rPr>
        <w:t xml:space="preserve">  i dar za djec</w:t>
      </w:r>
      <w:r w:rsidR="00E4531C">
        <w:rPr>
          <w:rFonts w:ascii="Arial" w:hAnsi="Arial" w:cs="Arial"/>
          <w:sz w:val="24"/>
          <w:szCs w:val="24"/>
          <w:lang w:eastAsia="hr-HR"/>
        </w:rPr>
        <w:t>u. Plan za 2025. godinu na ovoj stavci je rađen</w:t>
      </w:r>
      <w:r w:rsidRPr="005F0363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prema broju zaposlenika </w:t>
      </w:r>
      <w:r w:rsidRPr="005F0363">
        <w:rPr>
          <w:rFonts w:ascii="Arial" w:hAnsi="Arial" w:cs="Arial"/>
          <w:sz w:val="24"/>
          <w:szCs w:val="24"/>
          <w:lang w:eastAsia="hr-HR"/>
        </w:rPr>
        <w:t xml:space="preserve">iz prethodno obrazložene stavke te iznos za božićnicu i regres iznosi 54.000,00 eura. </w:t>
      </w:r>
      <w:proofErr w:type="spellStart"/>
      <w:r w:rsidRPr="005F0363">
        <w:rPr>
          <w:rFonts w:ascii="Arial" w:hAnsi="Arial" w:cs="Arial"/>
          <w:sz w:val="24"/>
          <w:szCs w:val="24"/>
          <w:lang w:eastAsia="hr-HR"/>
        </w:rPr>
        <w:t>Uskrsnica</w:t>
      </w:r>
      <w:proofErr w:type="spellEnd"/>
      <w:r w:rsidRPr="005F0363">
        <w:rPr>
          <w:rFonts w:ascii="Arial" w:hAnsi="Arial" w:cs="Arial"/>
          <w:sz w:val="24"/>
          <w:szCs w:val="24"/>
          <w:lang w:eastAsia="hr-HR"/>
        </w:rPr>
        <w:t xml:space="preserve"> je projicirana u iznosu od 9.000,00 eura. Jubilarne nagrade u 2025. godini ostvaruje pet službenika i to dvoje za trideset, dvoje za deset godina i jedan službenika za dvadeset godina. Projicirani iznos je 3.500,00 eura. Projekcija pomoći iznosi 2.750,00 eura, te dara za djecu 4.500,00 eura.</w:t>
      </w:r>
    </w:p>
    <w:p w14:paraId="11421E62" w14:textId="77777777" w:rsidR="007979DB" w:rsidRPr="005F0363" w:rsidRDefault="007979DB" w:rsidP="005F0363">
      <w:pPr>
        <w:widowControl/>
        <w:autoSpaceDE/>
        <w:autoSpaceDN/>
        <w:jc w:val="both"/>
        <w:rPr>
          <w:rFonts w:asciiTheme="minorHAnsi" w:eastAsiaTheme="minorHAnsi" w:hAnsiTheme="minorHAnsi" w:cstheme="minorBidi"/>
          <w:color w:val="FFFFFF" w:themeColor="background1"/>
          <w:lang w:val="en-US"/>
        </w:rPr>
      </w:pPr>
    </w:p>
    <w:p w14:paraId="1ED10260" w14:textId="47DEF9D7" w:rsidR="00865548" w:rsidRDefault="005F0363" w:rsidP="005F0363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fldChar w:fldCharType="end"/>
      </w:r>
    </w:p>
    <w:p w14:paraId="6312FA60" w14:textId="04F7B892" w:rsidR="002543DA" w:rsidRPr="00511FA0" w:rsidRDefault="002543DA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</w:t>
      </w:r>
      <w:r w:rsidR="00D20C84" w:rsidRPr="00511FA0">
        <w:rPr>
          <w:rFonts w:ascii="Arial" w:hAnsi="Arial" w:cs="Arial"/>
          <w:sz w:val="24"/>
          <w:szCs w:val="24"/>
        </w:rPr>
        <w:t>ijskog plana</w:t>
      </w:r>
      <w:r w:rsidR="00DF048C">
        <w:rPr>
          <w:rFonts w:ascii="Arial" w:hAnsi="Arial" w:cs="Arial"/>
          <w:sz w:val="24"/>
          <w:szCs w:val="24"/>
        </w:rPr>
        <w:t xml:space="preserve"> za rashode za usluge 2024.-2026</w:t>
      </w:r>
      <w:r w:rsidRPr="00511FA0">
        <w:rPr>
          <w:rFonts w:ascii="Arial" w:hAnsi="Arial" w:cs="Arial"/>
          <w:sz w:val="24"/>
          <w:szCs w:val="24"/>
        </w:rPr>
        <w:t>.</w:t>
      </w:r>
      <w:r w:rsidR="00C77C7C" w:rsidRPr="00511FA0">
        <w:rPr>
          <w:rFonts w:ascii="Arial" w:hAnsi="Arial" w:cs="Arial"/>
          <w:sz w:val="24"/>
          <w:szCs w:val="24"/>
        </w:rPr>
        <w:t xml:space="preserve"> </w:t>
      </w:r>
    </w:p>
    <w:p w14:paraId="2612BADD" w14:textId="27879B21" w:rsidR="00C77C7C" w:rsidRPr="00511FA0" w:rsidRDefault="00C77C7C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3237</w:t>
      </w:r>
      <w:r w:rsidR="00E82736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-</w:t>
      </w:r>
      <w:r w:rsidR="00E82736">
        <w:rPr>
          <w:rFonts w:ascii="Arial" w:hAnsi="Arial" w:cs="Arial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Intelektualne usluge</w:t>
      </w:r>
    </w:p>
    <w:p w14:paraId="60F6471C" w14:textId="77777777" w:rsidR="002543DA" w:rsidRPr="00511FA0" w:rsidRDefault="002543DA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A9BC06" w14:textId="77777777" w:rsidR="00D20C84" w:rsidRPr="00511FA0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76"/>
        <w:gridCol w:w="1728"/>
        <w:gridCol w:w="1521"/>
        <w:gridCol w:w="1673"/>
        <w:gridCol w:w="1520"/>
        <w:gridCol w:w="1299"/>
      </w:tblGrid>
      <w:tr w:rsidR="00D20C84" w:rsidRPr="00511FA0" w14:paraId="34D45C9C" w14:textId="77777777" w:rsidTr="00F41B9A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2717869" w14:textId="03786397" w:rsidR="00D20C84" w:rsidRPr="00511FA0" w:rsidRDefault="00D20C84" w:rsidP="00F41B9A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62519FB" w14:textId="74036B69" w:rsidR="00D20C84" w:rsidRPr="00511FA0" w:rsidRDefault="007979DB" w:rsidP="00F41B9A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D20C84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270C0" w14:textId="374A175D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79DB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8C42ED" w14:textId="303AD5E8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979DB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F05B63" w14:textId="7FED5EEC" w:rsidR="00D20C84" w:rsidRPr="00205BBF" w:rsidRDefault="00D20C84" w:rsidP="00F41B9A">
            <w:pPr>
              <w:pStyle w:val="TableParagraph"/>
              <w:jc w:val="center"/>
              <w:rPr>
                <w:rFonts w:ascii="Arial" w:hAnsi="Arial" w:cs="Arial"/>
              </w:rPr>
            </w:pPr>
            <w:r w:rsidRPr="00205BBF">
              <w:rPr>
                <w:rFonts w:ascii="Arial" w:hAnsi="Arial" w:cs="Arial"/>
              </w:rPr>
              <w:t>Projekcija</w:t>
            </w:r>
            <w:r w:rsidRPr="00205BBF">
              <w:rPr>
                <w:rFonts w:ascii="Arial" w:hAnsi="Arial" w:cs="Arial"/>
                <w:spacing w:val="-1"/>
              </w:rPr>
              <w:t xml:space="preserve"> </w:t>
            </w:r>
            <w:r w:rsidR="007979DB">
              <w:rPr>
                <w:rFonts w:ascii="Arial" w:hAnsi="Arial" w:cs="Arial"/>
              </w:rPr>
              <w:t>2026</w:t>
            </w:r>
            <w:r w:rsidRPr="00205BBF">
              <w:rPr>
                <w:rFonts w:ascii="Arial" w:hAnsi="Arial" w:cs="Arial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DEE9DEA" w14:textId="0979AFA4" w:rsidR="00D20C84" w:rsidRPr="00205BBF" w:rsidRDefault="007979DB" w:rsidP="00F41B9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Projekcija2027</w:t>
            </w:r>
            <w:r w:rsidR="00D20C84" w:rsidRPr="00205BBF">
              <w:rPr>
                <w:rFonts w:ascii="Arial" w:hAnsi="Arial" w:cs="Arial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62CCF48" w14:textId="518EB5E9" w:rsidR="00D20C84" w:rsidRPr="00511FA0" w:rsidRDefault="00D20C84" w:rsidP="00F41B9A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979DB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018DC9D" w14:textId="6166E442" w:rsidR="00D20C84" w:rsidRPr="00511FA0" w:rsidRDefault="007979DB" w:rsidP="00F41B9A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D20C84" w:rsidRPr="00511FA0" w14:paraId="1E809ED8" w14:textId="77777777" w:rsidTr="00F41B9A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51F1A3E3" w14:textId="77777777" w:rsidR="00D20C84" w:rsidRPr="00511FA0" w:rsidRDefault="00D20C84" w:rsidP="00F41B9A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E2925CA" w14:textId="544D2A18" w:rsidR="00D20C84" w:rsidRPr="00511FA0" w:rsidRDefault="007979DB" w:rsidP="00F41B9A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93.933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9B868E" w14:textId="19143A94" w:rsidR="00D20C84" w:rsidRPr="00511FA0" w:rsidRDefault="007979DB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120.000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5DD10" w14:textId="175A2040" w:rsidR="00D20C84" w:rsidRPr="00511FA0" w:rsidRDefault="007979DB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  <w:r w:rsidR="00205BBF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E82BC" w14:textId="22696DA7" w:rsidR="00D20C84" w:rsidRPr="00511FA0" w:rsidRDefault="007979DB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="00205BBF">
              <w:rPr>
                <w:rFonts w:ascii="Arial" w:hAnsi="Arial" w:cs="Arial"/>
                <w:sz w:val="24"/>
                <w:szCs w:val="24"/>
              </w:rPr>
              <w:t>.900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A2A8F" w14:textId="1C2E60F2" w:rsidR="00D20C84" w:rsidRPr="00511FA0" w:rsidRDefault="007979DB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131.0</w:t>
            </w:r>
            <w:r w:rsidR="00205BB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EF75A3" w14:textId="41D41D3A" w:rsidR="00D20C84" w:rsidRPr="00511FA0" w:rsidRDefault="007979DB" w:rsidP="00F41B9A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104,2</w:t>
            </w:r>
            <w:r w:rsidR="00C77C7C" w:rsidRPr="00511F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09F183C" w14:textId="77777777" w:rsidR="00D20C84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9899F68" w14:textId="0B82BD1F" w:rsidR="00865548" w:rsidRPr="00491657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Troškovi intelektualnih usluga su najveća stavka </w:t>
      </w:r>
      <w:r w:rsidR="00491657">
        <w:rPr>
          <w:rFonts w:ascii="Arial" w:hAnsi="Arial" w:cs="Arial"/>
          <w:sz w:val="24"/>
          <w:szCs w:val="24"/>
        </w:rPr>
        <w:t xml:space="preserve">skupine rashoda za usluge </w:t>
      </w:r>
      <w:r w:rsidRPr="00491657">
        <w:rPr>
          <w:rFonts w:ascii="Arial" w:hAnsi="Arial" w:cs="Arial"/>
          <w:sz w:val="24"/>
          <w:szCs w:val="24"/>
        </w:rPr>
        <w:t xml:space="preserve">u aktivnosti A642000, </w:t>
      </w:r>
      <w:r w:rsidR="0054359C">
        <w:rPr>
          <w:rFonts w:ascii="Arial" w:hAnsi="Arial" w:cs="Arial"/>
          <w:sz w:val="24"/>
          <w:szCs w:val="24"/>
        </w:rPr>
        <w:t>što je vidljivo u grafičkom prikazu (Grafikon 1). O</w:t>
      </w:r>
      <w:r w:rsidRPr="00491657">
        <w:rPr>
          <w:rFonts w:ascii="Arial" w:hAnsi="Arial" w:cs="Arial"/>
          <w:sz w:val="24"/>
          <w:szCs w:val="24"/>
        </w:rPr>
        <w:t>dnose se na vještačenja (medic</w:t>
      </w:r>
      <w:r w:rsidR="00F857D4">
        <w:rPr>
          <w:rFonts w:ascii="Arial" w:hAnsi="Arial" w:cs="Arial"/>
          <w:sz w:val="24"/>
          <w:szCs w:val="24"/>
        </w:rPr>
        <w:t xml:space="preserve">inska, građevinska, prometna, </w:t>
      </w:r>
      <w:r w:rsidRPr="00491657">
        <w:rPr>
          <w:rFonts w:ascii="Arial" w:hAnsi="Arial" w:cs="Arial"/>
          <w:sz w:val="24"/>
          <w:szCs w:val="24"/>
        </w:rPr>
        <w:t>računovodstveno-financijska vještačenja</w:t>
      </w:r>
      <w:r w:rsidR="00F857D4">
        <w:rPr>
          <w:rFonts w:ascii="Arial" w:hAnsi="Arial" w:cs="Arial"/>
          <w:sz w:val="24"/>
          <w:szCs w:val="24"/>
        </w:rPr>
        <w:t xml:space="preserve"> i dr.</w:t>
      </w:r>
      <w:r w:rsidRPr="00491657">
        <w:rPr>
          <w:rFonts w:ascii="Arial" w:hAnsi="Arial" w:cs="Arial"/>
          <w:sz w:val="24"/>
          <w:szCs w:val="24"/>
        </w:rPr>
        <w:t>)</w:t>
      </w:r>
      <w:r w:rsidR="00E82736">
        <w:rPr>
          <w:rFonts w:ascii="Arial" w:hAnsi="Arial" w:cs="Arial"/>
          <w:sz w:val="24"/>
          <w:szCs w:val="24"/>
        </w:rPr>
        <w:t>,</w:t>
      </w:r>
      <w:r w:rsidRPr="00491657">
        <w:rPr>
          <w:rFonts w:ascii="Arial" w:hAnsi="Arial" w:cs="Arial"/>
          <w:sz w:val="24"/>
          <w:szCs w:val="24"/>
        </w:rPr>
        <w:t xml:space="preserve"> usluge odvjetnika po službenoj dužnosti, usluge tumača, usluge bolničkih troškova (obdukcije i dr.)</w:t>
      </w:r>
      <w:r w:rsidR="00E82736">
        <w:rPr>
          <w:rFonts w:ascii="Arial" w:hAnsi="Arial" w:cs="Arial"/>
          <w:sz w:val="24"/>
          <w:szCs w:val="24"/>
        </w:rPr>
        <w:t>. I</w:t>
      </w:r>
      <w:r w:rsidRPr="00491657">
        <w:rPr>
          <w:rFonts w:ascii="Arial" w:hAnsi="Arial" w:cs="Arial"/>
          <w:sz w:val="24"/>
          <w:szCs w:val="24"/>
        </w:rPr>
        <w:t xml:space="preserve">sta se ne mogu točno planirati jer ovise o nužnosti i specifičnosti </w:t>
      </w:r>
      <w:r w:rsidR="00F857D4">
        <w:rPr>
          <w:rFonts w:ascii="Arial" w:hAnsi="Arial" w:cs="Arial"/>
          <w:sz w:val="24"/>
          <w:szCs w:val="24"/>
        </w:rPr>
        <w:t xml:space="preserve">zaprimljenih </w:t>
      </w:r>
      <w:r w:rsidRPr="00491657">
        <w:rPr>
          <w:rFonts w:ascii="Arial" w:hAnsi="Arial" w:cs="Arial"/>
          <w:sz w:val="24"/>
          <w:szCs w:val="24"/>
        </w:rPr>
        <w:t>predmeta</w:t>
      </w:r>
      <w:r w:rsidR="00F857D4">
        <w:rPr>
          <w:rFonts w:ascii="Arial" w:hAnsi="Arial" w:cs="Arial"/>
          <w:sz w:val="24"/>
          <w:szCs w:val="24"/>
        </w:rPr>
        <w:t>.</w:t>
      </w:r>
    </w:p>
    <w:p w14:paraId="7FB50031" w14:textId="20E7B4E1" w:rsidR="00865548" w:rsidRDefault="007979DB" w:rsidP="0049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Intelektualne usluge su za 2025</w:t>
      </w:r>
      <w:r w:rsidR="00865548" w:rsidRPr="00491657">
        <w:rPr>
          <w:rFonts w:ascii="Arial" w:hAnsi="Arial" w:cs="Arial"/>
          <w:sz w:val="24"/>
          <w:szCs w:val="24"/>
        </w:rPr>
        <w:t xml:space="preserve">. planirane u </w:t>
      </w:r>
      <w:r>
        <w:rPr>
          <w:rFonts w:ascii="Arial" w:hAnsi="Arial" w:cs="Arial"/>
          <w:sz w:val="24"/>
          <w:szCs w:val="24"/>
        </w:rPr>
        <w:t>iznosu od 125</w:t>
      </w:r>
      <w:r w:rsidR="00205BBF">
        <w:rPr>
          <w:rFonts w:ascii="Arial" w:hAnsi="Arial" w:cs="Arial"/>
          <w:sz w:val="24"/>
          <w:szCs w:val="24"/>
        </w:rPr>
        <w:t>.000</w:t>
      </w:r>
      <w:r w:rsidR="00865548" w:rsidRPr="00491657">
        <w:rPr>
          <w:rFonts w:ascii="Arial" w:hAnsi="Arial" w:cs="Arial"/>
          <w:sz w:val="24"/>
          <w:szCs w:val="24"/>
        </w:rPr>
        <w:t xml:space="preserve"> E</w:t>
      </w:r>
      <w:r w:rsidR="00205BBF">
        <w:rPr>
          <w:rFonts w:ascii="Arial" w:hAnsi="Arial" w:cs="Arial"/>
          <w:sz w:val="24"/>
          <w:szCs w:val="24"/>
        </w:rPr>
        <w:t xml:space="preserve">UR-a uzimajući u obzir </w:t>
      </w:r>
      <w:r>
        <w:rPr>
          <w:rFonts w:ascii="Arial" w:hAnsi="Arial" w:cs="Arial"/>
          <w:sz w:val="24"/>
          <w:szCs w:val="24"/>
        </w:rPr>
        <w:t>dinamiku troškova na ovoj stavci u tekućoj godini. Projekcija 2026</w:t>
      </w:r>
      <w:r w:rsidR="00865548" w:rsidRPr="00491657">
        <w:rPr>
          <w:rFonts w:ascii="Arial" w:hAnsi="Arial" w:cs="Arial"/>
          <w:sz w:val="24"/>
          <w:szCs w:val="24"/>
        </w:rPr>
        <w:t>. na stavci intelek</w:t>
      </w:r>
      <w:r>
        <w:rPr>
          <w:rFonts w:ascii="Arial" w:hAnsi="Arial" w:cs="Arial"/>
          <w:sz w:val="24"/>
          <w:szCs w:val="24"/>
        </w:rPr>
        <w:t>tualnih usluga je uvećana na 130</w:t>
      </w:r>
      <w:r w:rsidR="00205BBF">
        <w:rPr>
          <w:rFonts w:ascii="Arial" w:hAnsi="Arial" w:cs="Arial"/>
          <w:sz w:val="24"/>
          <w:szCs w:val="24"/>
        </w:rPr>
        <w:t>.900</w:t>
      </w:r>
      <w:r w:rsidR="00865548" w:rsidRPr="00491657">
        <w:rPr>
          <w:rFonts w:ascii="Arial" w:hAnsi="Arial" w:cs="Arial"/>
          <w:sz w:val="24"/>
          <w:szCs w:val="24"/>
        </w:rPr>
        <w:t xml:space="preserve"> EUR-a obzirom na prosjek troškova na ovoj stavci unazad p</w:t>
      </w:r>
      <w:r w:rsidR="00205BBF">
        <w:rPr>
          <w:rFonts w:ascii="Arial" w:hAnsi="Arial" w:cs="Arial"/>
          <w:sz w:val="24"/>
          <w:szCs w:val="24"/>
        </w:rPr>
        <w:t>ar godina. Na isti način je 2026</w:t>
      </w:r>
      <w:r w:rsidR="00865548" w:rsidRPr="00491657">
        <w:rPr>
          <w:rFonts w:ascii="Arial" w:hAnsi="Arial" w:cs="Arial"/>
          <w:sz w:val="24"/>
          <w:szCs w:val="24"/>
        </w:rPr>
        <w:t>. godine projicirano</w:t>
      </w:r>
      <w:r>
        <w:rPr>
          <w:rFonts w:ascii="Arial" w:hAnsi="Arial" w:cs="Arial"/>
          <w:sz w:val="24"/>
          <w:szCs w:val="24"/>
        </w:rPr>
        <w:t xml:space="preserve"> 131.000</w:t>
      </w:r>
      <w:r w:rsidR="00865548" w:rsidRPr="00491657">
        <w:rPr>
          <w:rFonts w:ascii="Arial" w:hAnsi="Arial" w:cs="Arial"/>
          <w:sz w:val="24"/>
          <w:szCs w:val="24"/>
        </w:rPr>
        <w:t xml:space="preserve"> EUR-a. </w:t>
      </w:r>
    </w:p>
    <w:p w14:paraId="4332AA6F" w14:textId="77777777" w:rsidR="0054359C" w:rsidRDefault="0054359C" w:rsidP="00491657">
      <w:pPr>
        <w:jc w:val="both"/>
        <w:rPr>
          <w:rFonts w:ascii="Arial" w:hAnsi="Arial" w:cs="Arial"/>
          <w:sz w:val="24"/>
          <w:szCs w:val="24"/>
        </w:rPr>
      </w:pPr>
    </w:p>
    <w:p w14:paraId="5F2F971D" w14:textId="77777777" w:rsidR="00A875C2" w:rsidRDefault="00A875C2" w:rsidP="00491657">
      <w:pPr>
        <w:jc w:val="both"/>
        <w:rPr>
          <w:rFonts w:ascii="Arial" w:hAnsi="Arial" w:cs="Arial"/>
          <w:sz w:val="24"/>
          <w:szCs w:val="24"/>
        </w:rPr>
      </w:pPr>
    </w:p>
    <w:p w14:paraId="1A294B5A" w14:textId="75107B18" w:rsidR="00491657" w:rsidRDefault="0054359C" w:rsidP="0049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144F2E4C" wp14:editId="54821FBB">
            <wp:extent cx="5486400" cy="2483893"/>
            <wp:effectExtent l="0" t="0" r="19050" b="1206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48A742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DD54678" w14:textId="3FC518C3" w:rsidR="00865548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  <w:r w:rsidRPr="00A875C2">
        <w:rPr>
          <w:rFonts w:ascii="Arial" w:hAnsi="Arial" w:cs="Arial"/>
          <w:sz w:val="18"/>
          <w:szCs w:val="18"/>
          <w:u w:val="single"/>
        </w:rPr>
        <w:t>Grafikon 1: Odnos ukupnih rashoda za usluge i intelektualnih usluga</w:t>
      </w:r>
    </w:p>
    <w:p w14:paraId="02E91D4D" w14:textId="77777777" w:rsidR="00A875C2" w:rsidRPr="00A875C2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FD4E5F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</w:p>
    <w:p w14:paraId="55D0227C" w14:textId="77777777" w:rsidR="00DD2D4F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2CC7D699" w14:textId="77777777" w:rsidR="00DD2D4F" w:rsidRPr="00491657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65B4781D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Upravljanje rashodima </w:t>
      </w:r>
    </w:p>
    <w:p w14:paraId="6954E5A6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770D610" w14:textId="17F46778" w:rsidR="00865548" w:rsidRDefault="00865548" w:rsidP="00E82736">
      <w:pPr>
        <w:jc w:val="both"/>
        <w:rPr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Aktivnost A642000 također je namijenjena i alimentiranju rashoda za uredski materijal, energiju, gorivo, </w:t>
      </w:r>
      <w:r w:rsidR="00DD2D4F">
        <w:rPr>
          <w:rFonts w:ascii="Arial" w:hAnsi="Arial" w:cs="Arial"/>
          <w:sz w:val="24"/>
          <w:szCs w:val="24"/>
        </w:rPr>
        <w:t xml:space="preserve">usluge telefona, pošte i prijevoza, </w:t>
      </w:r>
      <w:r w:rsidRPr="00491657">
        <w:rPr>
          <w:rFonts w:ascii="Arial" w:hAnsi="Arial" w:cs="Arial"/>
          <w:sz w:val="24"/>
          <w:szCs w:val="24"/>
        </w:rPr>
        <w:t>tekuće i investicijsko održavanje, zakupnine i najamnine, premije osiguranja, članarine i ostale materijalne rashode za potrebe svih odjela Općinskog državnog odvjetništva u Osijeku, a sredstva se koriste racionalno i na najefikasniji način. U odnosu na dinamiku izvršenja, kao i prisutno i stalno poskupljenje energenata, planirano je više sredstava, zbog povećanja ci</w:t>
      </w:r>
      <w:r w:rsidR="00491657">
        <w:rPr>
          <w:rFonts w:ascii="Arial" w:hAnsi="Arial" w:cs="Arial"/>
          <w:sz w:val="24"/>
          <w:szCs w:val="24"/>
        </w:rPr>
        <w:t>jena struje,</w:t>
      </w:r>
      <w:r w:rsidR="00E82736">
        <w:rPr>
          <w:rFonts w:ascii="Arial" w:hAnsi="Arial" w:cs="Arial"/>
          <w:sz w:val="24"/>
          <w:szCs w:val="24"/>
        </w:rPr>
        <w:t xml:space="preserve"> </w:t>
      </w:r>
      <w:r w:rsidR="00491657">
        <w:rPr>
          <w:rFonts w:ascii="Arial" w:hAnsi="Arial" w:cs="Arial"/>
          <w:sz w:val="24"/>
          <w:szCs w:val="24"/>
        </w:rPr>
        <w:t xml:space="preserve">toplinske </w:t>
      </w:r>
      <w:r w:rsidRPr="00491657">
        <w:rPr>
          <w:rFonts w:ascii="Arial" w:hAnsi="Arial" w:cs="Arial"/>
          <w:sz w:val="24"/>
          <w:szCs w:val="24"/>
        </w:rPr>
        <w:t>energije, papira i dr</w:t>
      </w:r>
      <w:r w:rsidRPr="00511FA0">
        <w:rPr>
          <w:sz w:val="24"/>
          <w:szCs w:val="24"/>
        </w:rPr>
        <w:t>.</w:t>
      </w:r>
    </w:p>
    <w:p w14:paraId="7153304E" w14:textId="77777777" w:rsidR="00DD2D4F" w:rsidRDefault="00DD2D4F" w:rsidP="00E82736">
      <w:pPr>
        <w:jc w:val="both"/>
        <w:rPr>
          <w:sz w:val="24"/>
          <w:szCs w:val="24"/>
        </w:rPr>
      </w:pPr>
    </w:p>
    <w:p w14:paraId="1F710E7C" w14:textId="77777777" w:rsidR="00DD2D4F" w:rsidRDefault="00DD2D4F" w:rsidP="00491657">
      <w:pPr>
        <w:rPr>
          <w:sz w:val="24"/>
          <w:szCs w:val="24"/>
        </w:rPr>
      </w:pPr>
    </w:p>
    <w:p w14:paraId="7E4E0485" w14:textId="77777777" w:rsidR="00631D8C" w:rsidRDefault="00697985" w:rsidP="00E827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Manje</w:t>
      </w:r>
      <w:r w:rsidR="00DD2D4F" w:rsidRPr="00361AD3">
        <w:rPr>
          <w:rFonts w:ascii="Arial" w:hAnsi="Arial" w:cs="Arial"/>
          <w:sz w:val="24"/>
          <w:szCs w:val="24"/>
        </w:rPr>
        <w:t xml:space="preserve"> odstupanje utvrđeno je na stavkama uredskog materijala te usluga telefona, pošte i prijevoza zbog porasta cijena. </w:t>
      </w:r>
    </w:p>
    <w:p w14:paraId="16C63AEA" w14:textId="77777777" w:rsidR="00631D8C" w:rsidRDefault="00631D8C" w:rsidP="00361AD3">
      <w:pPr>
        <w:rPr>
          <w:rFonts w:ascii="Arial" w:hAnsi="Arial" w:cs="Arial"/>
          <w:sz w:val="24"/>
          <w:szCs w:val="24"/>
        </w:rPr>
      </w:pPr>
    </w:p>
    <w:p w14:paraId="4EE4F274" w14:textId="7BEB8B1A" w:rsidR="00F00658" w:rsidRDefault="00701A92" w:rsidP="0036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Značajnije odstupanje nastalo je na stavci prijevoza 3212 što zbog porasta cijena mjesečnih/godišnjih cijena karata, cijena goriva i zbog primjene ovoga prava  i na pravosudne dužnosnike te službenike i namještenike starije od 58 godina života prema Izmjenama i dopunama Kolektivnog ugovora za državne službenike i namještenike NN 29/2024.</w:t>
      </w:r>
    </w:p>
    <w:p w14:paraId="58A16743" w14:textId="77777777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79"/>
        <w:gridCol w:w="1731"/>
        <w:gridCol w:w="1523"/>
        <w:gridCol w:w="1675"/>
        <w:gridCol w:w="1508"/>
        <w:gridCol w:w="1301"/>
      </w:tblGrid>
      <w:tr w:rsidR="00DD2D4F" w:rsidRPr="00511FA0" w14:paraId="1FB8514F" w14:textId="77777777" w:rsidTr="00126FBF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0BDC38B" w14:textId="2D8C5126" w:rsidR="00DD2D4F" w:rsidRPr="00511FA0" w:rsidRDefault="00701A92" w:rsidP="00126FB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3212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B037FA4" w14:textId="2E767E2D" w:rsidR="00DD2D4F" w:rsidRPr="00511FA0" w:rsidRDefault="00701A92" w:rsidP="00126FB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Izvršenje 2023</w:t>
            </w:r>
            <w:r w:rsidR="00DD2D4F"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0448FBE" w14:textId="42D9E30E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01A92">
              <w:rPr>
                <w:rFonts w:ascii="Arial" w:hAnsi="Arial" w:cs="Arial"/>
                <w:sz w:val="24"/>
                <w:szCs w:val="24"/>
              </w:rPr>
              <w:t>2024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14B4BB6" w14:textId="04ACCF35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01A92">
              <w:rPr>
                <w:rFonts w:ascii="Arial" w:hAnsi="Arial" w:cs="Arial"/>
                <w:sz w:val="24"/>
                <w:szCs w:val="24"/>
              </w:rPr>
              <w:t>2025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0A436DE" w14:textId="4D080E1F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01A92">
              <w:rPr>
                <w:rFonts w:ascii="Arial" w:hAnsi="Arial" w:cs="Arial"/>
                <w:sz w:val="24"/>
                <w:szCs w:val="24"/>
              </w:rPr>
              <w:t>2026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D9D3DE" w14:textId="2ED34655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36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A92">
              <w:rPr>
                <w:rFonts w:ascii="Arial" w:hAnsi="Arial" w:cs="Arial"/>
                <w:sz w:val="24"/>
                <w:szCs w:val="24"/>
              </w:rPr>
              <w:t>2027</w:t>
            </w:r>
            <w:r w:rsidRPr="00511F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3DA1B0BC" w14:textId="075108F0" w:rsidR="00DD2D4F" w:rsidRPr="00511FA0" w:rsidRDefault="00DD2D4F" w:rsidP="00126FB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proofErr w:type="spellEnd"/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01A92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7F05E1E7" w14:textId="3289BB35" w:rsidR="00DD2D4F" w:rsidRPr="00511FA0" w:rsidRDefault="00701A92" w:rsidP="00126FBF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DD2D4F" w:rsidRPr="00511FA0" w14:paraId="599FD1A7" w14:textId="77777777" w:rsidTr="00126FBF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7D13F6DF" w14:textId="77777777" w:rsidR="00DD2D4F" w:rsidRPr="00511FA0" w:rsidRDefault="00DD2D4F" w:rsidP="00126FB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01F2CB8A" w14:textId="5DEAF32B" w:rsidR="00DD2D4F" w:rsidRPr="00511FA0" w:rsidRDefault="00701A92" w:rsidP="00126FB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49.850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7730A4" w14:textId="1461F16F" w:rsidR="00DD2D4F" w:rsidRPr="00511FA0" w:rsidRDefault="00701A92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52.426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1F6AC" w14:textId="27B384A7" w:rsidR="00DD2D4F" w:rsidRPr="00511FA0" w:rsidRDefault="00136712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B0EEF6" w14:textId="014512DA" w:rsidR="00DD2D4F" w:rsidRPr="00511FA0" w:rsidRDefault="00136712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CC4257" w14:textId="08133500" w:rsidR="00DD2D4F" w:rsidRPr="00511FA0" w:rsidRDefault="00136712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531957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419B775" w14:textId="57828F8F" w:rsidR="00DD2D4F" w:rsidRPr="00511FA0" w:rsidRDefault="008E142C" w:rsidP="00126FB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103,0</w:t>
            </w:r>
            <w:r w:rsidR="00DD2D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306D21A" w14:textId="51036706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859C231" w14:textId="77777777" w:rsidR="00361AD3" w:rsidRDefault="00361AD3" w:rsidP="005E6C4F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DE4EC0D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2406857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C61A6FA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63B5DC" w14:textId="77777777" w:rsidR="00DA58EF" w:rsidRDefault="00DA58EF" w:rsidP="00DA58E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A48E287" w14:textId="77777777" w:rsidR="00E91848" w:rsidRDefault="00E91848" w:rsidP="00FF57A5">
      <w:pPr>
        <w:pStyle w:val="Tijeloteksta"/>
        <w:spacing w:before="2"/>
        <w:rPr>
          <w:sz w:val="32"/>
        </w:rPr>
      </w:pPr>
    </w:p>
    <w:sectPr w:rsidR="00E91848">
      <w:footerReference w:type="default" r:id="rId8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94C8" w14:textId="77777777" w:rsidR="00613312" w:rsidRDefault="00613312" w:rsidP="005320D4">
      <w:r>
        <w:separator/>
      </w:r>
    </w:p>
  </w:endnote>
  <w:endnote w:type="continuationSeparator" w:id="0">
    <w:p w14:paraId="762A6039" w14:textId="77777777" w:rsidR="00613312" w:rsidRDefault="00613312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4A072263" w:rsidR="005320D4" w:rsidRPr="005320D4" w:rsidRDefault="005320D4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5320D4">
      <w:rPr>
        <w:rFonts w:asciiTheme="majorHAnsi" w:eastAsiaTheme="majorEastAsia" w:hAnsiTheme="majorHAnsi" w:cstheme="majorBidi"/>
        <w:sz w:val="16"/>
        <w:szCs w:val="16"/>
      </w:rPr>
      <w:t>Općinsko državno odvjetništvo u Osijeku-obrazloženje posebno</w:t>
    </w:r>
    <w:r w:rsidR="00200072">
      <w:rPr>
        <w:rFonts w:asciiTheme="majorHAnsi" w:eastAsiaTheme="majorEastAsia" w:hAnsiTheme="majorHAnsi" w:cstheme="majorBidi"/>
        <w:sz w:val="16"/>
        <w:szCs w:val="16"/>
      </w:rPr>
      <w:t>g dijela financijskog plana 2025.-2027</w:t>
    </w:r>
    <w:r w:rsidRPr="005320D4">
      <w:rPr>
        <w:rFonts w:asciiTheme="majorHAnsi" w:eastAsiaTheme="majorEastAsia" w:hAnsiTheme="majorHAnsi" w:cstheme="majorBidi"/>
        <w:sz w:val="16"/>
        <w:szCs w:val="16"/>
      </w:rPr>
      <w:t>.</w:t>
    </w:r>
    <w:r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5320D4">
      <w:rPr>
        <w:sz w:val="16"/>
        <w:szCs w:val="16"/>
      </w:rPr>
      <w:instrText>PAGE   \* MERGEFORMAT</w:instrTex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00072" w:rsidRPr="00200072">
      <w:rPr>
        <w:rFonts w:asciiTheme="majorHAnsi" w:eastAsiaTheme="majorEastAsia" w:hAnsiTheme="majorHAnsi" w:cstheme="majorBidi"/>
        <w:noProof/>
        <w:sz w:val="16"/>
        <w:szCs w:val="16"/>
      </w:rPr>
      <w:t>4</w:t>
    </w:r>
    <w:r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1265" w14:textId="77777777" w:rsidR="00613312" w:rsidRDefault="00613312" w:rsidP="005320D4">
      <w:r>
        <w:separator/>
      </w:r>
    </w:p>
  </w:footnote>
  <w:footnote w:type="continuationSeparator" w:id="0">
    <w:p w14:paraId="7D500368" w14:textId="77777777" w:rsidR="00613312" w:rsidRDefault="00613312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1128A"/>
    <w:rsid w:val="00013414"/>
    <w:rsid w:val="00017C86"/>
    <w:rsid w:val="00022B9C"/>
    <w:rsid w:val="00045022"/>
    <w:rsid w:val="00056E34"/>
    <w:rsid w:val="0007312A"/>
    <w:rsid w:val="000B2B6F"/>
    <w:rsid w:val="00101689"/>
    <w:rsid w:val="00124D62"/>
    <w:rsid w:val="001316CA"/>
    <w:rsid w:val="00136712"/>
    <w:rsid w:val="0014420E"/>
    <w:rsid w:val="001479A4"/>
    <w:rsid w:val="00155A9E"/>
    <w:rsid w:val="00171B33"/>
    <w:rsid w:val="001A5522"/>
    <w:rsid w:val="001C2DC4"/>
    <w:rsid w:val="001F5FB9"/>
    <w:rsid w:val="00200072"/>
    <w:rsid w:val="00205BBF"/>
    <w:rsid w:val="0023098D"/>
    <w:rsid w:val="00231872"/>
    <w:rsid w:val="00232A97"/>
    <w:rsid w:val="00246993"/>
    <w:rsid w:val="002543DA"/>
    <w:rsid w:val="002705F2"/>
    <w:rsid w:val="0027064B"/>
    <w:rsid w:val="00272417"/>
    <w:rsid w:val="00273F71"/>
    <w:rsid w:val="002A17E1"/>
    <w:rsid w:val="002C2156"/>
    <w:rsid w:val="002E6669"/>
    <w:rsid w:val="002E763C"/>
    <w:rsid w:val="002E7932"/>
    <w:rsid w:val="002F2BF6"/>
    <w:rsid w:val="002F679E"/>
    <w:rsid w:val="00302BD7"/>
    <w:rsid w:val="003161BD"/>
    <w:rsid w:val="003455A3"/>
    <w:rsid w:val="003555EB"/>
    <w:rsid w:val="00361AD3"/>
    <w:rsid w:val="0037333D"/>
    <w:rsid w:val="003836CF"/>
    <w:rsid w:val="00384ECB"/>
    <w:rsid w:val="003850E6"/>
    <w:rsid w:val="003A5B8D"/>
    <w:rsid w:val="003A692A"/>
    <w:rsid w:val="003B029F"/>
    <w:rsid w:val="003B6FA9"/>
    <w:rsid w:val="003E3BEE"/>
    <w:rsid w:val="003E5F2A"/>
    <w:rsid w:val="003F41D0"/>
    <w:rsid w:val="00403CC5"/>
    <w:rsid w:val="00407854"/>
    <w:rsid w:val="004502FD"/>
    <w:rsid w:val="00454E1A"/>
    <w:rsid w:val="004707A5"/>
    <w:rsid w:val="00477E19"/>
    <w:rsid w:val="00490896"/>
    <w:rsid w:val="004910C0"/>
    <w:rsid w:val="00491657"/>
    <w:rsid w:val="004D784B"/>
    <w:rsid w:val="004F0BD6"/>
    <w:rsid w:val="00511FA0"/>
    <w:rsid w:val="005214DB"/>
    <w:rsid w:val="00523C37"/>
    <w:rsid w:val="00531957"/>
    <w:rsid w:val="005320D4"/>
    <w:rsid w:val="0054359C"/>
    <w:rsid w:val="00551CAD"/>
    <w:rsid w:val="00576758"/>
    <w:rsid w:val="005A2EEC"/>
    <w:rsid w:val="005A4D41"/>
    <w:rsid w:val="005B3322"/>
    <w:rsid w:val="005B707D"/>
    <w:rsid w:val="005C333A"/>
    <w:rsid w:val="005D2B32"/>
    <w:rsid w:val="005E6C4F"/>
    <w:rsid w:val="005F0363"/>
    <w:rsid w:val="00613312"/>
    <w:rsid w:val="00616193"/>
    <w:rsid w:val="006174B8"/>
    <w:rsid w:val="00631D8C"/>
    <w:rsid w:val="00657C38"/>
    <w:rsid w:val="006604FC"/>
    <w:rsid w:val="00697985"/>
    <w:rsid w:val="00701A92"/>
    <w:rsid w:val="00730449"/>
    <w:rsid w:val="0079322A"/>
    <w:rsid w:val="007979DB"/>
    <w:rsid w:val="007A1238"/>
    <w:rsid w:val="007C05AF"/>
    <w:rsid w:val="007D28C3"/>
    <w:rsid w:val="007D31F7"/>
    <w:rsid w:val="007F5ADA"/>
    <w:rsid w:val="007F74B3"/>
    <w:rsid w:val="00821CFC"/>
    <w:rsid w:val="00832985"/>
    <w:rsid w:val="00865548"/>
    <w:rsid w:val="00892AFB"/>
    <w:rsid w:val="008E142C"/>
    <w:rsid w:val="008E44E1"/>
    <w:rsid w:val="008F1E96"/>
    <w:rsid w:val="009013CA"/>
    <w:rsid w:val="0090532E"/>
    <w:rsid w:val="009237C9"/>
    <w:rsid w:val="00930B34"/>
    <w:rsid w:val="00982222"/>
    <w:rsid w:val="00986EA4"/>
    <w:rsid w:val="009925FF"/>
    <w:rsid w:val="0099739F"/>
    <w:rsid w:val="009A2FD3"/>
    <w:rsid w:val="009D4F0A"/>
    <w:rsid w:val="00A2585A"/>
    <w:rsid w:val="00A278B1"/>
    <w:rsid w:val="00A5403A"/>
    <w:rsid w:val="00A73B74"/>
    <w:rsid w:val="00A875C2"/>
    <w:rsid w:val="00A91C7F"/>
    <w:rsid w:val="00AA5377"/>
    <w:rsid w:val="00AB4B4D"/>
    <w:rsid w:val="00AE100D"/>
    <w:rsid w:val="00AE5318"/>
    <w:rsid w:val="00B12589"/>
    <w:rsid w:val="00B21C90"/>
    <w:rsid w:val="00B47696"/>
    <w:rsid w:val="00B56B5F"/>
    <w:rsid w:val="00B64725"/>
    <w:rsid w:val="00B7689A"/>
    <w:rsid w:val="00B83B53"/>
    <w:rsid w:val="00BA7296"/>
    <w:rsid w:val="00BB0C44"/>
    <w:rsid w:val="00BB209F"/>
    <w:rsid w:val="00C00678"/>
    <w:rsid w:val="00C216B5"/>
    <w:rsid w:val="00C363D0"/>
    <w:rsid w:val="00C44DD7"/>
    <w:rsid w:val="00C465D7"/>
    <w:rsid w:val="00C61ACF"/>
    <w:rsid w:val="00C77C7C"/>
    <w:rsid w:val="00C82CFF"/>
    <w:rsid w:val="00C8634B"/>
    <w:rsid w:val="00CC4FDD"/>
    <w:rsid w:val="00CD4087"/>
    <w:rsid w:val="00CE341E"/>
    <w:rsid w:val="00CE7F37"/>
    <w:rsid w:val="00D02929"/>
    <w:rsid w:val="00D20C84"/>
    <w:rsid w:val="00D401AC"/>
    <w:rsid w:val="00D5350F"/>
    <w:rsid w:val="00D643EF"/>
    <w:rsid w:val="00D7190C"/>
    <w:rsid w:val="00D75E8F"/>
    <w:rsid w:val="00DA58EF"/>
    <w:rsid w:val="00DB3539"/>
    <w:rsid w:val="00DD2D4F"/>
    <w:rsid w:val="00DF048C"/>
    <w:rsid w:val="00E02BD3"/>
    <w:rsid w:val="00E12AFF"/>
    <w:rsid w:val="00E12CFC"/>
    <w:rsid w:val="00E17181"/>
    <w:rsid w:val="00E24DD3"/>
    <w:rsid w:val="00E325FE"/>
    <w:rsid w:val="00E34DE2"/>
    <w:rsid w:val="00E4531C"/>
    <w:rsid w:val="00E50CC0"/>
    <w:rsid w:val="00E82736"/>
    <w:rsid w:val="00E8301A"/>
    <w:rsid w:val="00E852AB"/>
    <w:rsid w:val="00E8669C"/>
    <w:rsid w:val="00E86F2A"/>
    <w:rsid w:val="00E91848"/>
    <w:rsid w:val="00F00658"/>
    <w:rsid w:val="00F0717F"/>
    <w:rsid w:val="00F220BE"/>
    <w:rsid w:val="00F22FB1"/>
    <w:rsid w:val="00F45616"/>
    <w:rsid w:val="00F7740E"/>
    <w:rsid w:val="00F857D4"/>
    <w:rsid w:val="00F92D5F"/>
    <w:rsid w:val="00FA15D6"/>
    <w:rsid w:val="00FA2C8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D1A074D9-18A9-498F-9204-5B4BD2C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Projekcija 2026.</c:v>
                </c:pt>
                <c:pt idx="2">
                  <c:v>Projekcija 2027.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352744</c:v>
                </c:pt>
                <c:pt idx="1">
                  <c:v>365500</c:v>
                </c:pt>
                <c:pt idx="2">
                  <c:v>372600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28-4F4B-9A08-6D7BB2712B3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Projekcija 2026.</c:v>
                </c:pt>
                <c:pt idx="2">
                  <c:v>Projekcija 2027.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125000</c:v>
                </c:pt>
                <c:pt idx="1">
                  <c:v>130900</c:v>
                </c:pt>
                <c:pt idx="2">
                  <c:v>131000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28-4F4B-9A08-6D7BB2712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699520"/>
        <c:axId val="219197824"/>
      </c:barChart>
      <c:catAx>
        <c:axId val="18069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197824"/>
        <c:crosses val="autoZero"/>
        <c:auto val="1"/>
        <c:lblAlgn val="ctr"/>
        <c:lblOffset val="100"/>
        <c:noMultiLvlLbl val="0"/>
      </c:catAx>
      <c:valAx>
        <c:axId val="2191978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8069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42</cp:revision>
  <dcterms:created xsi:type="dcterms:W3CDTF">2024-11-06T09:38:00Z</dcterms:created>
  <dcterms:modified xsi:type="dcterms:W3CDTF">2024-11-07T10:03:00Z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