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6" w:rsidRDefault="005E28E6" w:rsidP="005E28E6">
      <w:pPr>
        <w:pStyle w:val="Naslov1"/>
      </w:pPr>
      <w:r>
        <w:t>RAZDJEL: 109  MINISTARSTVO PRAVOSUĐA</w:t>
      </w:r>
      <w:r>
        <w:tab/>
        <w:t xml:space="preserve">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OIB :11393950527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Šifra djelatnosti  : 8423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A0780C" w:rsidRDefault="00A3014E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uz financijske izvještaje </w:t>
      </w:r>
      <w:r w:rsidR="00A0780C">
        <w:rPr>
          <w:b/>
          <w:bCs/>
          <w:i/>
          <w:iCs/>
          <w:sz w:val="20"/>
        </w:rPr>
        <w:t xml:space="preserve"> za </w:t>
      </w:r>
      <w:r w:rsidR="005B50E4">
        <w:rPr>
          <w:b/>
          <w:bCs/>
          <w:i/>
          <w:iCs/>
          <w:sz w:val="20"/>
        </w:rPr>
        <w:t xml:space="preserve">razdoblje 01.siječnja do 31.prosinca </w:t>
      </w:r>
      <w:r w:rsidR="00A0780C">
        <w:rPr>
          <w:b/>
          <w:bCs/>
          <w:i/>
          <w:iCs/>
          <w:sz w:val="20"/>
        </w:rPr>
        <w:t xml:space="preserve"> 202</w:t>
      </w:r>
      <w:r w:rsidR="00395821">
        <w:rPr>
          <w:b/>
          <w:bCs/>
          <w:i/>
          <w:iCs/>
          <w:sz w:val="20"/>
        </w:rPr>
        <w:t>4</w:t>
      </w:r>
      <w:r w:rsidR="00A0780C">
        <w:rPr>
          <w:b/>
          <w:bCs/>
          <w:i/>
          <w:iCs/>
          <w:sz w:val="20"/>
        </w:rPr>
        <w:t xml:space="preserve">. godinu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uz obrazac PR-RAS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1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6615</w:t>
      </w:r>
    </w:p>
    <w:p w:rsidR="005E28E6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Iskazani v</w:t>
      </w:r>
      <w:r w:rsidRPr="006F1684">
        <w:rPr>
          <w:b/>
          <w:bCs/>
          <w:i/>
          <w:iCs/>
          <w:sz w:val="20"/>
          <w:szCs w:val="20"/>
        </w:rPr>
        <w:t xml:space="preserve">lastiti prihodi proračunskog korisnika  su </w:t>
      </w:r>
      <w:r>
        <w:rPr>
          <w:b/>
          <w:bCs/>
          <w:i/>
          <w:iCs/>
          <w:sz w:val="20"/>
          <w:szCs w:val="20"/>
        </w:rPr>
        <w:t xml:space="preserve">nešto </w:t>
      </w:r>
      <w:r w:rsidR="005B50E4">
        <w:rPr>
          <w:b/>
          <w:bCs/>
          <w:i/>
          <w:iCs/>
          <w:sz w:val="20"/>
          <w:szCs w:val="20"/>
        </w:rPr>
        <w:t xml:space="preserve">manji </w:t>
      </w:r>
      <w:r>
        <w:rPr>
          <w:b/>
          <w:bCs/>
          <w:i/>
          <w:iCs/>
          <w:sz w:val="20"/>
          <w:szCs w:val="20"/>
        </w:rPr>
        <w:t xml:space="preserve"> od prošlogodišn</w:t>
      </w:r>
      <w:r w:rsidR="005B50E4">
        <w:rPr>
          <w:b/>
          <w:bCs/>
          <w:i/>
          <w:iCs/>
          <w:sz w:val="20"/>
          <w:szCs w:val="20"/>
        </w:rPr>
        <w:t>jih, što je vidljivo iz indeksa, a ujedno su i potrošeni</w:t>
      </w:r>
      <w:r w:rsidR="00E85D6B">
        <w:rPr>
          <w:b/>
          <w:bCs/>
          <w:i/>
          <w:iCs/>
          <w:sz w:val="20"/>
          <w:szCs w:val="20"/>
        </w:rPr>
        <w:t xml:space="preserve">, osim iznosa uplaćenog zadnji dan u godini koji se </w:t>
      </w:r>
      <w:r w:rsidR="005B50E4">
        <w:rPr>
          <w:b/>
          <w:bCs/>
          <w:i/>
          <w:iCs/>
          <w:sz w:val="20"/>
          <w:szCs w:val="20"/>
        </w:rPr>
        <w:t xml:space="preserve"> pr</w:t>
      </w:r>
      <w:r w:rsidR="00E85D6B">
        <w:rPr>
          <w:b/>
          <w:bCs/>
          <w:i/>
          <w:iCs/>
          <w:sz w:val="20"/>
          <w:szCs w:val="20"/>
        </w:rPr>
        <w:t xml:space="preserve">enosi </w:t>
      </w:r>
      <w:r w:rsidR="005B50E4">
        <w:rPr>
          <w:b/>
          <w:bCs/>
          <w:i/>
          <w:iCs/>
          <w:sz w:val="20"/>
          <w:szCs w:val="20"/>
        </w:rPr>
        <w:t xml:space="preserve"> u slijedeću proračunsku godinu. </w:t>
      </w:r>
      <w:r>
        <w:rPr>
          <w:b/>
          <w:bCs/>
          <w:i/>
          <w:iCs/>
          <w:sz w:val="20"/>
          <w:szCs w:val="20"/>
        </w:rPr>
        <w:t xml:space="preserve"> </w:t>
      </w:r>
      <w:r w:rsidRPr="006F1684">
        <w:rPr>
          <w:b/>
          <w:bCs/>
          <w:i/>
          <w:iCs/>
          <w:sz w:val="20"/>
          <w:szCs w:val="20"/>
        </w:rPr>
        <w:t xml:space="preserve">Nenaplaćenih vlastitih prihoda nemamo i nisu iskazani 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>
        <w:rPr>
          <w:b/>
          <w:bCs/>
          <w:i/>
          <w:iCs/>
          <w:sz w:val="20"/>
          <w:szCs w:val="20"/>
        </w:rPr>
        <w:t xml:space="preserve"> </w:t>
      </w:r>
      <w:r w:rsidR="002220EC">
        <w:rPr>
          <w:b/>
          <w:bCs/>
          <w:i/>
          <w:iCs/>
          <w:sz w:val="20"/>
          <w:szCs w:val="20"/>
        </w:rPr>
        <w:t>2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3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Ukupni rashodi su veći za </w:t>
      </w:r>
      <w:r w:rsidR="00E85D6B">
        <w:rPr>
          <w:b/>
          <w:bCs/>
          <w:i/>
          <w:iCs/>
          <w:sz w:val="20"/>
          <w:szCs w:val="20"/>
        </w:rPr>
        <w:t>49,6</w:t>
      </w:r>
      <w:r>
        <w:rPr>
          <w:b/>
          <w:bCs/>
          <w:i/>
          <w:iCs/>
          <w:sz w:val="20"/>
          <w:szCs w:val="20"/>
        </w:rPr>
        <w:t xml:space="preserve"> %, dok su</w:t>
      </w:r>
      <w:r w:rsidR="00654998">
        <w:rPr>
          <w:b/>
          <w:bCs/>
          <w:i/>
          <w:iCs/>
          <w:sz w:val="20"/>
          <w:szCs w:val="20"/>
        </w:rPr>
        <w:t xml:space="preserve"> ukupni </w:t>
      </w:r>
      <w:r>
        <w:rPr>
          <w:b/>
          <w:bCs/>
          <w:i/>
          <w:iCs/>
          <w:sz w:val="20"/>
          <w:szCs w:val="20"/>
        </w:rPr>
        <w:t xml:space="preserve"> prihodi porasli za </w:t>
      </w:r>
      <w:r w:rsidR="00E85D6B">
        <w:rPr>
          <w:b/>
          <w:bCs/>
          <w:i/>
          <w:iCs/>
          <w:sz w:val="20"/>
          <w:szCs w:val="20"/>
        </w:rPr>
        <w:t>45,3</w:t>
      </w:r>
      <w:r w:rsidR="00654998">
        <w:rPr>
          <w:b/>
          <w:bCs/>
          <w:i/>
          <w:iCs/>
          <w:sz w:val="20"/>
          <w:szCs w:val="20"/>
        </w:rPr>
        <w:t xml:space="preserve"> %,  a što je odraz povišenja plaće i svih troškova sukladno inflaciji</w:t>
      </w:r>
      <w:r w:rsidR="00E85D6B">
        <w:rPr>
          <w:b/>
          <w:bCs/>
          <w:i/>
          <w:iCs/>
          <w:sz w:val="20"/>
          <w:szCs w:val="20"/>
        </w:rPr>
        <w:t xml:space="preserve"> i posljedicama uvođenja eura.</w:t>
      </w:r>
      <w:r w:rsidR="00654998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pStyle w:val="Naslov1"/>
        <w:rPr>
          <w:szCs w:val="20"/>
        </w:rPr>
      </w:pPr>
      <w:r w:rsidRPr="006F1684">
        <w:rPr>
          <w:szCs w:val="20"/>
        </w:rPr>
        <w:t xml:space="preserve">BILJEŠKA br. </w:t>
      </w:r>
      <w:r>
        <w:rPr>
          <w:szCs w:val="20"/>
        </w:rPr>
        <w:t>3 – šifra 3211</w:t>
      </w:r>
      <w:r w:rsidR="00E85D6B">
        <w:rPr>
          <w:szCs w:val="20"/>
        </w:rPr>
        <w:t xml:space="preserve"> i 3213</w:t>
      </w:r>
    </w:p>
    <w:p w:rsidR="005E28E6" w:rsidRPr="006F1684" w:rsidRDefault="005E28E6" w:rsidP="005E28E6">
      <w:pPr>
        <w:rPr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Indeks pokazuje </w:t>
      </w:r>
      <w:r>
        <w:rPr>
          <w:b/>
          <w:i/>
          <w:sz w:val="20"/>
          <w:szCs w:val="20"/>
        </w:rPr>
        <w:t xml:space="preserve">povećani </w:t>
      </w:r>
      <w:r w:rsidRPr="006F1684">
        <w:rPr>
          <w:b/>
          <w:i/>
          <w:sz w:val="20"/>
          <w:szCs w:val="20"/>
        </w:rPr>
        <w:t xml:space="preserve"> trošak </w:t>
      </w:r>
      <w:r>
        <w:rPr>
          <w:b/>
          <w:i/>
          <w:sz w:val="20"/>
          <w:szCs w:val="20"/>
        </w:rPr>
        <w:t xml:space="preserve"> u odnosu na prošlu godinu, kada </w:t>
      </w:r>
      <w:r w:rsidR="00654998">
        <w:rPr>
          <w:b/>
          <w:i/>
          <w:sz w:val="20"/>
          <w:szCs w:val="20"/>
        </w:rPr>
        <w:t>su službena putovanja imala pun</w:t>
      </w:r>
      <w:r w:rsidR="00B2473B">
        <w:rPr>
          <w:b/>
          <w:i/>
          <w:sz w:val="20"/>
          <w:szCs w:val="20"/>
        </w:rPr>
        <w:t>o</w:t>
      </w:r>
      <w:r w:rsidR="00654998">
        <w:rPr>
          <w:b/>
          <w:i/>
          <w:sz w:val="20"/>
          <w:szCs w:val="20"/>
        </w:rPr>
        <w:t xml:space="preserve"> manji opseg. </w:t>
      </w:r>
      <w:r w:rsidR="00E85D6B">
        <w:rPr>
          <w:b/>
          <w:i/>
          <w:sz w:val="20"/>
          <w:szCs w:val="20"/>
        </w:rPr>
        <w:t xml:space="preserve">Rezultat je to ponovnog uspostavljanja normalnih službenih putovanja i stručnih usavršavanje, što je zbog </w:t>
      </w:r>
      <w:proofErr w:type="spellStart"/>
      <w:r w:rsidR="00E85D6B">
        <w:rPr>
          <w:b/>
          <w:i/>
          <w:sz w:val="20"/>
          <w:szCs w:val="20"/>
        </w:rPr>
        <w:t>covid</w:t>
      </w:r>
      <w:proofErr w:type="spellEnd"/>
      <w:r w:rsidR="00E85D6B">
        <w:rPr>
          <w:b/>
          <w:i/>
          <w:sz w:val="20"/>
          <w:szCs w:val="20"/>
        </w:rPr>
        <w:t>-a bilo smanjeno.</w:t>
      </w:r>
      <w:r>
        <w:rPr>
          <w:b/>
          <w:i/>
          <w:sz w:val="20"/>
          <w:szCs w:val="20"/>
        </w:rPr>
        <w:t xml:space="preserve">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Pr="006F1684" w:rsidRDefault="005E28E6" w:rsidP="005E28E6">
      <w:pPr>
        <w:rPr>
          <w:sz w:val="20"/>
          <w:szCs w:val="20"/>
        </w:rPr>
      </w:pPr>
    </w:p>
    <w:p w:rsidR="005E28E6" w:rsidRPr="006F1684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BILJEŠKA br. </w:t>
      </w:r>
      <w:r>
        <w:rPr>
          <w:b/>
          <w:i/>
          <w:sz w:val="20"/>
          <w:szCs w:val="20"/>
        </w:rPr>
        <w:t>4</w:t>
      </w:r>
      <w:r w:rsidRPr="006F1684">
        <w:rPr>
          <w:b/>
          <w:i/>
          <w:sz w:val="20"/>
          <w:szCs w:val="20"/>
        </w:rPr>
        <w:t xml:space="preserve"> – </w:t>
      </w:r>
      <w:r>
        <w:rPr>
          <w:b/>
          <w:i/>
          <w:sz w:val="20"/>
          <w:szCs w:val="20"/>
        </w:rPr>
        <w:t>šifra 32</w:t>
      </w:r>
      <w:r w:rsidR="00E85D6B">
        <w:rPr>
          <w:b/>
          <w:i/>
          <w:sz w:val="20"/>
          <w:szCs w:val="20"/>
        </w:rPr>
        <w:t>31 i 3232</w:t>
      </w: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Indeks pokazuje povećan</w:t>
      </w:r>
      <w:r>
        <w:rPr>
          <w:b/>
          <w:i/>
          <w:sz w:val="20"/>
          <w:szCs w:val="20"/>
        </w:rPr>
        <w:t xml:space="preserve">i </w:t>
      </w:r>
      <w:r w:rsidR="00B2473B">
        <w:rPr>
          <w:b/>
          <w:i/>
          <w:sz w:val="20"/>
          <w:szCs w:val="20"/>
        </w:rPr>
        <w:t xml:space="preserve">trošak </w:t>
      </w:r>
      <w:r w:rsidR="00E85D6B">
        <w:rPr>
          <w:b/>
          <w:i/>
          <w:sz w:val="20"/>
          <w:szCs w:val="20"/>
        </w:rPr>
        <w:t>usluga pošte čije su cijene znatno povišene, a obim ne možemo smanjiti. Također se povećala stavka održavanja, ali unutar limita.</w:t>
      </w:r>
      <w:r w:rsidR="0065499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BILJEŠKA br.</w:t>
      </w:r>
      <w:r>
        <w:rPr>
          <w:b/>
          <w:i/>
          <w:sz w:val="20"/>
          <w:szCs w:val="20"/>
        </w:rPr>
        <w:t xml:space="preserve"> </w:t>
      </w:r>
      <w:r w:rsidR="002220EC">
        <w:rPr>
          <w:b/>
          <w:i/>
          <w:sz w:val="20"/>
          <w:szCs w:val="20"/>
        </w:rPr>
        <w:t>5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šifra 3236</w:t>
      </w:r>
    </w:p>
    <w:p w:rsidR="005E28E6" w:rsidRDefault="002220EC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Povećani </w:t>
      </w:r>
      <w:r w:rsidR="00800C4E">
        <w:rPr>
          <w:b/>
          <w:i/>
          <w:sz w:val="20"/>
          <w:szCs w:val="20"/>
        </w:rPr>
        <w:t xml:space="preserve"> trošak vidljiv iz indeksa je nastao iz razloga </w:t>
      </w:r>
      <w:r>
        <w:rPr>
          <w:b/>
          <w:i/>
          <w:sz w:val="20"/>
          <w:szCs w:val="20"/>
        </w:rPr>
        <w:t xml:space="preserve">stjecanja prava na  sistematske </w:t>
      </w:r>
      <w:r w:rsidR="00800C4E">
        <w:rPr>
          <w:b/>
          <w:i/>
          <w:sz w:val="20"/>
          <w:szCs w:val="20"/>
        </w:rPr>
        <w:t xml:space="preserve"> pregled</w:t>
      </w:r>
      <w:r w:rsidR="00B2473B">
        <w:rPr>
          <w:b/>
          <w:i/>
          <w:sz w:val="20"/>
          <w:szCs w:val="20"/>
        </w:rPr>
        <w:t>e</w:t>
      </w:r>
      <w:bookmarkStart w:id="0" w:name="_GoBack"/>
      <w:bookmarkEnd w:id="0"/>
      <w:r>
        <w:rPr>
          <w:b/>
          <w:i/>
          <w:sz w:val="20"/>
          <w:szCs w:val="20"/>
        </w:rPr>
        <w:t xml:space="preserve"> svih pravosudnih dužnosnika koji su istom pristupili  uz već planirani broj službenika i namještenika.</w:t>
      </w:r>
      <w:r w:rsidR="00800C4E">
        <w:rPr>
          <w:b/>
          <w:i/>
          <w:sz w:val="20"/>
          <w:szCs w:val="20"/>
        </w:rPr>
        <w:t xml:space="preserve">. </w:t>
      </w:r>
      <w:r w:rsidR="005E28E6">
        <w:rPr>
          <w:b/>
          <w:i/>
          <w:sz w:val="20"/>
          <w:szCs w:val="20"/>
        </w:rPr>
        <w:t xml:space="preserve">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BILJEŠKA br. </w:t>
      </w:r>
      <w:r w:rsidR="002220EC">
        <w:rPr>
          <w:b/>
          <w:i/>
          <w:sz w:val="20"/>
          <w:szCs w:val="20"/>
        </w:rPr>
        <w:t>6</w:t>
      </w:r>
      <w:r>
        <w:rPr>
          <w:b/>
          <w:i/>
          <w:sz w:val="20"/>
          <w:szCs w:val="20"/>
        </w:rPr>
        <w:t xml:space="preserve"> – šifra 3237</w:t>
      </w:r>
    </w:p>
    <w:p w:rsidR="00800C4E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Indeks pokazuje </w:t>
      </w:r>
      <w:r w:rsidR="002220EC">
        <w:rPr>
          <w:b/>
          <w:i/>
          <w:sz w:val="20"/>
          <w:szCs w:val="20"/>
        </w:rPr>
        <w:t xml:space="preserve">gotovo dupli </w:t>
      </w:r>
      <w:r>
        <w:rPr>
          <w:b/>
          <w:i/>
          <w:sz w:val="20"/>
          <w:szCs w:val="20"/>
        </w:rPr>
        <w:t xml:space="preserve"> trošak od lanjskog, a što je odraz vrte spisa i troškova u istim. </w:t>
      </w:r>
    </w:p>
    <w:p w:rsidR="002220EC" w:rsidRDefault="002220EC" w:rsidP="005E28E6">
      <w:pPr>
        <w:rPr>
          <w:b/>
          <w:i/>
          <w:sz w:val="20"/>
          <w:szCs w:val="20"/>
        </w:rPr>
      </w:pPr>
    </w:p>
    <w:p w:rsidR="002220EC" w:rsidRDefault="002220EC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 7 – šifra 324</w:t>
      </w:r>
    </w:p>
    <w:p w:rsidR="002220EC" w:rsidRDefault="002220EC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Indeks pokazuje znatan rast, radi se o troškovima svjedoka u postupcima, a  oni ovise o spisima.</w:t>
      </w:r>
    </w:p>
    <w:p w:rsidR="00800C4E" w:rsidRDefault="00800C4E" w:rsidP="005E28E6">
      <w:pPr>
        <w:rPr>
          <w:b/>
          <w:i/>
          <w:sz w:val="20"/>
          <w:szCs w:val="20"/>
        </w:rPr>
      </w:pPr>
    </w:p>
    <w:p w:rsidR="00800C4E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BILJEŠKA br. </w:t>
      </w:r>
      <w:r w:rsidR="002220EC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 xml:space="preserve"> – šifra 3431</w:t>
      </w:r>
    </w:p>
    <w:p w:rsidR="005E28E6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Indeks ove stavke pokazuje povećane troškove banaka – održavanje računa i plaćanje s istog. Djelomično je za to razlog novi način plaćanja i ukidanja rizničnog plaćanja uvođenjem BGA sustava, a djelomično odraz povećanja naknada banke. </w:t>
      </w:r>
      <w:r w:rsidR="005E28E6">
        <w:rPr>
          <w:b/>
          <w:i/>
          <w:sz w:val="20"/>
          <w:szCs w:val="20"/>
        </w:rPr>
        <w:t xml:space="preserve">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 w:rsidR="00800C4E">
        <w:rPr>
          <w:b/>
          <w:bCs/>
          <w:i/>
          <w:iCs/>
          <w:sz w:val="20"/>
          <w:szCs w:val="20"/>
        </w:rPr>
        <w:t>9</w:t>
      </w:r>
      <w:r>
        <w:rPr>
          <w:b/>
          <w:bCs/>
          <w:i/>
          <w:iCs/>
          <w:sz w:val="20"/>
          <w:szCs w:val="20"/>
        </w:rPr>
        <w:t xml:space="preserve"> – šifra </w:t>
      </w:r>
      <w:r w:rsidR="00800C4E">
        <w:rPr>
          <w:b/>
          <w:bCs/>
          <w:i/>
          <w:iCs/>
          <w:sz w:val="20"/>
          <w:szCs w:val="20"/>
        </w:rPr>
        <w:t>X</w:t>
      </w:r>
      <w:r>
        <w:rPr>
          <w:b/>
          <w:bCs/>
          <w:i/>
          <w:iCs/>
          <w:sz w:val="20"/>
          <w:szCs w:val="20"/>
        </w:rPr>
        <w:t>001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stavci je iskazan </w:t>
      </w:r>
      <w:r w:rsidR="00800C4E">
        <w:rPr>
          <w:b/>
          <w:bCs/>
          <w:i/>
          <w:iCs/>
          <w:sz w:val="20"/>
          <w:szCs w:val="20"/>
        </w:rPr>
        <w:t xml:space="preserve">višak </w:t>
      </w:r>
      <w:r>
        <w:rPr>
          <w:b/>
          <w:bCs/>
          <w:i/>
          <w:iCs/>
          <w:sz w:val="20"/>
          <w:szCs w:val="20"/>
        </w:rPr>
        <w:t xml:space="preserve"> prihoda </w:t>
      </w:r>
      <w:r w:rsidR="00800C4E">
        <w:rPr>
          <w:b/>
          <w:bCs/>
          <w:i/>
          <w:iCs/>
          <w:sz w:val="20"/>
          <w:szCs w:val="20"/>
        </w:rPr>
        <w:t xml:space="preserve">poslovanja </w:t>
      </w:r>
      <w:r>
        <w:rPr>
          <w:b/>
          <w:bCs/>
          <w:i/>
          <w:iCs/>
          <w:sz w:val="20"/>
          <w:szCs w:val="20"/>
        </w:rPr>
        <w:t>tekuće godine i on iznosi =</w:t>
      </w:r>
      <w:r w:rsidR="002220EC">
        <w:rPr>
          <w:b/>
          <w:bCs/>
          <w:i/>
          <w:iCs/>
          <w:sz w:val="20"/>
          <w:szCs w:val="20"/>
        </w:rPr>
        <w:t>12.231,42 eura</w:t>
      </w:r>
      <w:r>
        <w:rPr>
          <w:b/>
          <w:bCs/>
          <w:i/>
          <w:iCs/>
          <w:sz w:val="20"/>
          <w:szCs w:val="20"/>
        </w:rPr>
        <w:t>,</w:t>
      </w:r>
      <w:r w:rsidR="00B71ECB">
        <w:rPr>
          <w:b/>
          <w:bCs/>
          <w:i/>
          <w:iCs/>
          <w:sz w:val="20"/>
          <w:szCs w:val="20"/>
        </w:rPr>
        <w:t xml:space="preserve"> </w:t>
      </w:r>
      <w:r w:rsidR="002220EC">
        <w:rPr>
          <w:b/>
          <w:bCs/>
          <w:i/>
          <w:iCs/>
          <w:sz w:val="20"/>
          <w:szCs w:val="20"/>
        </w:rPr>
        <w:t xml:space="preserve">ali ne može pokriti cjelokupan manjak prihoda, jer su tu i </w:t>
      </w:r>
      <w:r w:rsidR="00526F9E">
        <w:rPr>
          <w:b/>
          <w:bCs/>
          <w:i/>
          <w:iCs/>
          <w:sz w:val="20"/>
          <w:szCs w:val="20"/>
        </w:rPr>
        <w:t xml:space="preserve"> kapitalna ulaganja, </w:t>
      </w:r>
      <w:r w:rsidR="00A3014E">
        <w:rPr>
          <w:b/>
          <w:bCs/>
          <w:i/>
          <w:iCs/>
          <w:sz w:val="20"/>
          <w:szCs w:val="20"/>
        </w:rPr>
        <w:t>za koja će se izvršiti korekcija rezultata</w:t>
      </w:r>
      <w:r w:rsidR="002220EC">
        <w:rPr>
          <w:b/>
          <w:bCs/>
          <w:i/>
          <w:iCs/>
          <w:sz w:val="20"/>
          <w:szCs w:val="20"/>
        </w:rPr>
        <w:t xml:space="preserve">. Ipak </w:t>
      </w:r>
      <w:r w:rsidR="00526F9E">
        <w:rPr>
          <w:b/>
          <w:bCs/>
          <w:i/>
          <w:iCs/>
          <w:sz w:val="20"/>
          <w:szCs w:val="20"/>
        </w:rPr>
        <w:t xml:space="preserve"> možemo zaključiti da nam je</w:t>
      </w:r>
      <w:r w:rsidR="002220EC">
        <w:rPr>
          <w:b/>
          <w:bCs/>
          <w:i/>
          <w:iCs/>
          <w:sz w:val="20"/>
          <w:szCs w:val="20"/>
        </w:rPr>
        <w:t xml:space="preserve"> i </w:t>
      </w:r>
      <w:r w:rsidR="00526F9E">
        <w:rPr>
          <w:b/>
          <w:bCs/>
          <w:i/>
          <w:iCs/>
          <w:sz w:val="20"/>
          <w:szCs w:val="20"/>
        </w:rPr>
        <w:t xml:space="preserve"> ova proračunska godin</w:t>
      </w:r>
      <w:r w:rsidR="002220EC">
        <w:rPr>
          <w:b/>
          <w:bCs/>
          <w:i/>
          <w:iCs/>
          <w:sz w:val="20"/>
          <w:szCs w:val="20"/>
        </w:rPr>
        <w:t>a bila uspješna.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BILJEŠKA br.</w:t>
      </w:r>
      <w:r w:rsidR="00526F9E">
        <w:rPr>
          <w:b/>
          <w:bCs/>
          <w:i/>
          <w:iCs/>
          <w:sz w:val="20"/>
          <w:szCs w:val="20"/>
        </w:rPr>
        <w:t>10</w:t>
      </w:r>
      <w:r>
        <w:rPr>
          <w:b/>
          <w:bCs/>
          <w:i/>
          <w:iCs/>
          <w:sz w:val="20"/>
          <w:szCs w:val="20"/>
        </w:rPr>
        <w:t xml:space="preserve"> – šifra 92221</w:t>
      </w: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Preneseni manjak prihoda  odgovara pre</w:t>
      </w:r>
      <w:r w:rsidR="00A3014E">
        <w:rPr>
          <w:b/>
          <w:i/>
          <w:sz w:val="20"/>
          <w:szCs w:val="20"/>
        </w:rPr>
        <w:t xml:space="preserve">nesenom stanju iz prošle godine. Na postojećem rezultatu proračunske godine izvršena je korekcija za kapitalna ulaganja ( razred 4).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br.1</w:t>
      </w:r>
      <w:r w:rsidR="00526F9E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– šifra 422</w:t>
      </w:r>
      <w:r w:rsidR="00526F9E">
        <w:rPr>
          <w:b/>
          <w:i/>
          <w:sz w:val="20"/>
          <w:szCs w:val="20"/>
        </w:rPr>
        <w:t>1 i 451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Nabavljena oprema iskazana na kontu je nabavljena</w:t>
      </w:r>
      <w:r w:rsidR="00526F9E">
        <w:rPr>
          <w:b/>
          <w:i/>
          <w:sz w:val="20"/>
          <w:szCs w:val="20"/>
        </w:rPr>
        <w:t xml:space="preserve"> iz  vlastitih  prihoda godine, a imali smo i kapitalna ulaganja </w:t>
      </w:r>
      <w:r w:rsidR="00953102">
        <w:rPr>
          <w:b/>
          <w:i/>
          <w:sz w:val="20"/>
          <w:szCs w:val="20"/>
        </w:rPr>
        <w:t>oko zgrade</w:t>
      </w:r>
      <w:r w:rsidR="00526F9E">
        <w:rPr>
          <w:b/>
          <w:i/>
          <w:sz w:val="20"/>
          <w:szCs w:val="20"/>
        </w:rPr>
        <w:t xml:space="preserve"> u kojoj je ODO smješten</w:t>
      </w:r>
      <w:r w:rsidR="00953102">
        <w:rPr>
          <w:b/>
          <w:i/>
          <w:sz w:val="20"/>
          <w:szCs w:val="20"/>
        </w:rPr>
        <w:t xml:space="preserve"> ( parkiralište i ulaz )</w:t>
      </w:r>
      <w:r w:rsidR="00526F9E">
        <w:rPr>
          <w:b/>
          <w:i/>
          <w:sz w:val="20"/>
          <w:szCs w:val="20"/>
        </w:rPr>
        <w:t>, iako zgradom upravlja Općinsk</w:t>
      </w:r>
      <w:r w:rsidR="00953102">
        <w:rPr>
          <w:b/>
          <w:i/>
          <w:sz w:val="20"/>
          <w:szCs w:val="20"/>
        </w:rPr>
        <w:t xml:space="preserve">i sud u Zlataru. </w:t>
      </w:r>
      <w:r w:rsidR="00526F9E">
        <w:rPr>
          <w:b/>
          <w:i/>
          <w:sz w:val="20"/>
          <w:szCs w:val="20"/>
        </w:rPr>
        <w:t xml:space="preserve"> </w:t>
      </w:r>
      <w:r w:rsidR="00953102">
        <w:rPr>
          <w:b/>
          <w:i/>
          <w:sz w:val="20"/>
          <w:szCs w:val="20"/>
        </w:rPr>
        <w:t xml:space="preserve">Kapitalni projekti su uspješno završeni i plaćeni u proračunskoj godini.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971F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 1</w:t>
      </w:r>
      <w:r w:rsidR="005971F6">
        <w:rPr>
          <w:b/>
          <w:bCs/>
          <w:i/>
          <w:iCs/>
          <w:sz w:val="20"/>
          <w:szCs w:val="20"/>
        </w:rPr>
        <w:t>2 –šifra Y006</w:t>
      </w:r>
    </w:p>
    <w:p w:rsidR="005971F6" w:rsidRDefault="005971F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Iskazani iznos konačni je rezultat tekuće godine i iznosi =</w:t>
      </w:r>
      <w:r w:rsidR="00953102">
        <w:rPr>
          <w:b/>
          <w:bCs/>
          <w:i/>
          <w:iCs/>
          <w:sz w:val="20"/>
          <w:szCs w:val="20"/>
        </w:rPr>
        <w:t>1.057,23</w:t>
      </w:r>
      <w:r>
        <w:rPr>
          <w:b/>
          <w:bCs/>
          <w:i/>
          <w:iCs/>
          <w:sz w:val="20"/>
          <w:szCs w:val="20"/>
        </w:rPr>
        <w:t xml:space="preserve"> EUR-a manjka prihoda. S obzirom na </w:t>
      </w:r>
      <w:r w:rsidR="00953102">
        <w:rPr>
          <w:b/>
          <w:bCs/>
          <w:i/>
          <w:iCs/>
          <w:sz w:val="20"/>
          <w:szCs w:val="20"/>
        </w:rPr>
        <w:t xml:space="preserve">obima poslovanja i troškova, </w:t>
      </w:r>
      <w:r>
        <w:rPr>
          <w:b/>
          <w:bCs/>
          <w:i/>
          <w:iCs/>
          <w:sz w:val="20"/>
          <w:szCs w:val="20"/>
        </w:rPr>
        <w:t xml:space="preserve"> možemo reći da je to dobar rezultat poslovanja. </w:t>
      </w:r>
    </w:p>
    <w:p w:rsidR="005971F6" w:rsidRDefault="005971F6" w:rsidP="005E28E6">
      <w:pPr>
        <w:rPr>
          <w:b/>
          <w:bCs/>
          <w:i/>
          <w:iCs/>
          <w:sz w:val="20"/>
          <w:szCs w:val="20"/>
        </w:rPr>
      </w:pPr>
    </w:p>
    <w:p w:rsidR="005E28E6" w:rsidRPr="006F1684" w:rsidRDefault="005971F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br.13</w:t>
      </w:r>
      <w:r w:rsidR="005E28E6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je ostvario  vlastite prihode  u proračunskoj godini iskazane u izvještaju</w:t>
      </w:r>
      <w:r>
        <w:rPr>
          <w:b/>
          <w:bCs/>
          <w:i/>
          <w:iCs/>
          <w:sz w:val="20"/>
          <w:szCs w:val="20"/>
        </w:rPr>
        <w:t xml:space="preserve">.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Posebnih odstupanja nema, a u analitičkim podacima iskazani su svi potrebni podaci.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nije mogao omogućiti knjiženje zaduženja i naplate obračunatih prihoda koji se uplaćuju u državni proračun, te je situacija objašnjena u bilješkama za bilancu 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Ukupno izvršenje sa proračunom je u potpunosti usklađeno.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370158" w:rsidRDefault="00370158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A0780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bilancu </w:t>
      </w: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971F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 br. 1 – šifra </w:t>
      </w:r>
      <w:r w:rsidR="005971F6">
        <w:rPr>
          <w:b/>
          <w:bCs/>
          <w:i/>
          <w:iCs/>
          <w:sz w:val="20"/>
        </w:rPr>
        <w:t>012</w:t>
      </w:r>
    </w:p>
    <w:p w:rsidR="005E28E6" w:rsidRDefault="005971F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Ulaganja u tuđu imovinu iskaz</w:t>
      </w:r>
      <w:r w:rsidR="00B71ECB">
        <w:rPr>
          <w:b/>
          <w:bCs/>
          <w:i/>
          <w:iCs/>
          <w:sz w:val="20"/>
        </w:rPr>
        <w:t>a</w:t>
      </w:r>
      <w:r>
        <w:rPr>
          <w:b/>
          <w:bCs/>
          <w:i/>
          <w:iCs/>
          <w:sz w:val="20"/>
        </w:rPr>
        <w:t xml:space="preserve">na su na kontu 01241 i povećale su vrijednosti dugotrajne imovine proračunskog korisnika. Isto je već objašnjeno u bilješkama uz PR-RAS.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ILJEŠKA br. 2 –šifra 02</w:t>
      </w:r>
      <w:r w:rsidR="00B71ECB">
        <w:rPr>
          <w:b/>
          <w:bCs/>
          <w:i/>
          <w:iCs/>
          <w:sz w:val="20"/>
        </w:rPr>
        <w:t>62</w:t>
      </w:r>
      <w:r w:rsidR="005971F6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Indeksa ove kolone je po</w:t>
      </w:r>
      <w:r w:rsidR="005971F6">
        <w:rPr>
          <w:b/>
          <w:bCs/>
          <w:i/>
          <w:iCs/>
          <w:sz w:val="20"/>
        </w:rPr>
        <w:t xml:space="preserve">većan sukladno </w:t>
      </w:r>
      <w:r w:rsidR="00B71ECB">
        <w:rPr>
          <w:b/>
          <w:bCs/>
          <w:i/>
          <w:iCs/>
          <w:sz w:val="20"/>
        </w:rPr>
        <w:t>primljenoj opremi sa softverom 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3 – šifra 042 i 049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Na stavci je vidljivo povećanje vrijednosti sitnog inventara  za nabavljeno u proračunskoj godini. </w:t>
      </w: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</w:p>
    <w:p w:rsidR="00EE5CFC" w:rsidRDefault="00B71ECB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br.4 – 231</w:t>
      </w: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Obveze za zaposlen veće su od prošlogodišnjih zbog rasta plaća .</w:t>
      </w: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 br.5 – šifra 91</w:t>
      </w: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pokazuje rast vrijednosti imovine ( primljene i ulaganja ) . </w:t>
      </w:r>
    </w:p>
    <w:p w:rsidR="00B71ECB" w:rsidRDefault="00B71ECB" w:rsidP="005E28E6">
      <w:pPr>
        <w:jc w:val="both"/>
        <w:rPr>
          <w:b/>
          <w:bCs/>
          <w:i/>
          <w:iCs/>
          <w:sz w:val="20"/>
        </w:rPr>
      </w:pP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B71ECB">
        <w:rPr>
          <w:b/>
          <w:bCs/>
          <w:i/>
          <w:iCs/>
          <w:sz w:val="20"/>
        </w:rPr>
        <w:t>6</w:t>
      </w:r>
      <w:r>
        <w:rPr>
          <w:b/>
          <w:bCs/>
          <w:i/>
          <w:iCs/>
          <w:sz w:val="20"/>
        </w:rPr>
        <w:t xml:space="preserve"> – šifra 191  i 193</w:t>
      </w: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Rashodi budućih razdoblja – 191 su pretplate na tisak, plaćene u 202</w:t>
      </w:r>
      <w:r w:rsidR="00370158">
        <w:rPr>
          <w:b/>
          <w:bCs/>
          <w:i/>
          <w:iCs/>
          <w:sz w:val="20"/>
        </w:rPr>
        <w:t>4</w:t>
      </w:r>
      <w:r>
        <w:rPr>
          <w:b/>
          <w:bCs/>
          <w:i/>
          <w:iCs/>
          <w:sz w:val="20"/>
        </w:rPr>
        <w:t xml:space="preserve">. godini, a trošak je sukladno rastu cijena veći od prošlogodišnjeg. </w:t>
      </w: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Kontinuirani rashodi poslovanja – 193 odnose se na plaću i prijevoz  za prosinac 202</w:t>
      </w:r>
      <w:r w:rsidR="00370158">
        <w:rPr>
          <w:b/>
          <w:bCs/>
          <w:i/>
          <w:iCs/>
          <w:sz w:val="20"/>
        </w:rPr>
        <w:t>4</w:t>
      </w:r>
      <w:r>
        <w:rPr>
          <w:b/>
          <w:bCs/>
          <w:i/>
          <w:iCs/>
          <w:sz w:val="20"/>
        </w:rPr>
        <w:t>. godine  , a  koji će se isplatiti u siječnju 202</w:t>
      </w:r>
      <w:r w:rsidR="00370158">
        <w:rPr>
          <w:b/>
          <w:bCs/>
          <w:i/>
          <w:iCs/>
          <w:sz w:val="20"/>
        </w:rPr>
        <w:t>5</w:t>
      </w:r>
      <w:r>
        <w:rPr>
          <w:b/>
          <w:bCs/>
          <w:i/>
          <w:iCs/>
          <w:sz w:val="20"/>
        </w:rPr>
        <w:t xml:space="preserve">. godine.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26DD7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370158">
        <w:rPr>
          <w:b/>
          <w:bCs/>
          <w:i/>
          <w:iCs/>
          <w:sz w:val="20"/>
        </w:rPr>
        <w:t>7</w:t>
      </w:r>
      <w:r>
        <w:rPr>
          <w:b/>
          <w:bCs/>
          <w:i/>
          <w:iCs/>
          <w:sz w:val="20"/>
        </w:rPr>
        <w:t xml:space="preserve"> – šifra 92221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</w:t>
      </w:r>
      <w:r w:rsidR="00526DD7">
        <w:rPr>
          <w:b/>
          <w:bCs/>
          <w:i/>
          <w:iCs/>
          <w:sz w:val="20"/>
        </w:rPr>
        <w:t>4</w:t>
      </w:r>
      <w:r w:rsidR="00370158">
        <w:rPr>
          <w:b/>
          <w:bCs/>
          <w:i/>
          <w:iCs/>
          <w:sz w:val="20"/>
        </w:rPr>
        <w:t>3,8</w:t>
      </w:r>
      <w:r w:rsidR="00526DD7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pokazuje </w:t>
      </w:r>
      <w:r w:rsidR="00370158">
        <w:rPr>
          <w:b/>
          <w:bCs/>
          <w:i/>
          <w:iCs/>
          <w:sz w:val="20"/>
        </w:rPr>
        <w:t xml:space="preserve">rast </w:t>
      </w:r>
      <w:r>
        <w:rPr>
          <w:b/>
          <w:bCs/>
          <w:i/>
          <w:iCs/>
          <w:sz w:val="20"/>
        </w:rPr>
        <w:t xml:space="preserve"> manjka prihoda </w:t>
      </w:r>
      <w:r w:rsidR="00526DD7">
        <w:rPr>
          <w:b/>
          <w:bCs/>
          <w:i/>
          <w:iCs/>
          <w:sz w:val="20"/>
        </w:rPr>
        <w:t xml:space="preserve">proračunske godine </w:t>
      </w:r>
      <w:r>
        <w:rPr>
          <w:b/>
          <w:bCs/>
          <w:i/>
          <w:iCs/>
          <w:sz w:val="20"/>
        </w:rPr>
        <w:t>koji je već objašnjen</w:t>
      </w:r>
      <w:r w:rsidR="00526DD7">
        <w:rPr>
          <w:b/>
          <w:bCs/>
          <w:i/>
          <w:iCs/>
          <w:sz w:val="20"/>
        </w:rPr>
        <w:t xml:space="preserve">, </w:t>
      </w:r>
      <w:r w:rsidR="00370158">
        <w:rPr>
          <w:b/>
          <w:bCs/>
          <w:i/>
          <w:iCs/>
          <w:sz w:val="20"/>
        </w:rPr>
        <w:t>ali razumljiv s obzirom na zahtjevnost godine koju smo završili.</w:t>
      </w:r>
      <w:r w:rsidR="00526DD7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 </w:t>
      </w:r>
    </w:p>
    <w:p w:rsidR="00370158" w:rsidRDefault="00370158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</w:t>
      </w:r>
      <w:r w:rsidR="00370158">
        <w:rPr>
          <w:b/>
          <w:bCs/>
          <w:i/>
          <w:iCs/>
          <w:sz w:val="20"/>
        </w:rPr>
        <w:t>8</w:t>
      </w:r>
      <w:r>
        <w:rPr>
          <w:b/>
          <w:bCs/>
          <w:i/>
          <w:iCs/>
          <w:sz w:val="20"/>
        </w:rPr>
        <w:t xml:space="preserve">  – šifra 991 i 996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pokazuje stanje  </w:t>
      </w:r>
      <w:proofErr w:type="spellStart"/>
      <w:r>
        <w:rPr>
          <w:b/>
          <w:bCs/>
          <w:i/>
          <w:iCs/>
          <w:sz w:val="20"/>
        </w:rPr>
        <w:t>izvanbilančnih</w:t>
      </w:r>
      <w:proofErr w:type="spellEnd"/>
      <w:r>
        <w:rPr>
          <w:b/>
          <w:bCs/>
          <w:i/>
          <w:iCs/>
          <w:sz w:val="20"/>
        </w:rPr>
        <w:t xml:space="preserve"> zapisa - tuđu imovinu, te potencijalne obveze po osnovi sudskih sporova u tijeku, koji su uknjiženi </w:t>
      </w:r>
      <w:r w:rsidR="00526DD7">
        <w:rPr>
          <w:b/>
          <w:bCs/>
          <w:i/>
          <w:iCs/>
          <w:sz w:val="20"/>
        </w:rPr>
        <w:t>pr</w:t>
      </w:r>
      <w:r w:rsidR="00370158">
        <w:rPr>
          <w:b/>
          <w:bCs/>
          <w:i/>
          <w:iCs/>
          <w:sz w:val="20"/>
        </w:rPr>
        <w:t xml:space="preserve">ijašnjih </w:t>
      </w:r>
      <w:r>
        <w:rPr>
          <w:b/>
          <w:bCs/>
          <w:i/>
          <w:iCs/>
          <w:sz w:val="20"/>
        </w:rPr>
        <w:t xml:space="preserve"> godin</w:t>
      </w:r>
      <w:r w:rsidR="00370158">
        <w:rPr>
          <w:b/>
          <w:bCs/>
          <w:i/>
          <w:iCs/>
          <w:sz w:val="20"/>
        </w:rPr>
        <w:t>a</w:t>
      </w:r>
      <w:r>
        <w:rPr>
          <w:b/>
          <w:bCs/>
          <w:i/>
          <w:iCs/>
          <w:sz w:val="20"/>
        </w:rPr>
        <w:t xml:space="preserve"> , a  odnosi se na uvećani staž zamjenika koji su radili na poslovima istrage. </w:t>
      </w:r>
    </w:p>
    <w:p w:rsidR="00370158" w:rsidRDefault="00370158" w:rsidP="005E28E6">
      <w:pPr>
        <w:jc w:val="both"/>
        <w:rPr>
          <w:b/>
          <w:bCs/>
          <w:i/>
          <w:iCs/>
          <w:sz w:val="20"/>
        </w:rPr>
      </w:pPr>
    </w:p>
    <w:p w:rsidR="00370158" w:rsidRDefault="00370158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526DD7">
        <w:rPr>
          <w:b/>
          <w:bCs/>
          <w:i/>
          <w:iCs/>
          <w:sz w:val="20"/>
        </w:rPr>
        <w:t>10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 izvještaju nema nekih odstupanja niti posebnosti koje nisu objašnjene.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Dodatni  analitički podaci  popunjeni su prema traženom.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Proračunski korisnik nije mogao osigurati podatke za bilančno praćenje zaduženih i naplaćenih prihoda ( pristojbe, troškovi postupka i sl. ) koji se uplaćuju u državni proračun, a proračunski korisnik je dužan pratiti njihovu naplatu. Istima se kontrolira i prati naplata, po pojedinačnim spisima i slučajevima, ali program ne može osigurati zbirne podatke zaduženja kako bi se mogli i uknjižiti. Dio njih odnosi se na državna tijela u čije ime se vode postupci ( sudove, ministarstva, županije…).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Sudskih sporova u tijeku osim spomenutih i uknjiženih ovaj proračunski korisnik nema.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A0780C" w:rsidP="00A0780C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obrazac P-VRIO </w:t>
      </w:r>
    </w:p>
    <w:p w:rsidR="00A0780C" w:rsidRDefault="00A0780C" w:rsidP="00A0780C">
      <w:pPr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AOP  PO18 </w:t>
      </w:r>
    </w:p>
    <w:p w:rsidR="00E915E8" w:rsidRDefault="005E28E6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Na poziciji </w:t>
      </w:r>
      <w:r w:rsidR="00370158">
        <w:rPr>
          <w:b/>
          <w:bCs/>
          <w:i/>
          <w:iCs/>
          <w:sz w:val="20"/>
        </w:rPr>
        <w:t xml:space="preserve">PO18 iznos povećanja ,  uknjižena je primljena imovina u proračunskoj godini, a na poziciji smanjenja je godišnje </w:t>
      </w:r>
      <w:proofErr w:type="spellStart"/>
      <w:r w:rsidR="00370158">
        <w:rPr>
          <w:b/>
          <w:bCs/>
          <w:i/>
          <w:iCs/>
          <w:sz w:val="20"/>
        </w:rPr>
        <w:t>isknjiženje</w:t>
      </w:r>
      <w:proofErr w:type="spellEnd"/>
      <w:r w:rsidR="00370158">
        <w:rPr>
          <w:b/>
          <w:bCs/>
          <w:i/>
          <w:iCs/>
          <w:sz w:val="20"/>
        </w:rPr>
        <w:t xml:space="preserve"> imovine sa vrijednošću.</w:t>
      </w:r>
      <w:r w:rsidR="00E915E8">
        <w:rPr>
          <w:b/>
          <w:bCs/>
          <w:i/>
          <w:iCs/>
          <w:sz w:val="20"/>
        </w:rPr>
        <w:t xml:space="preserve"> </w:t>
      </w:r>
      <w:r w:rsidR="00A0780C">
        <w:rPr>
          <w:b/>
          <w:bCs/>
          <w:i/>
          <w:iCs/>
          <w:sz w:val="20"/>
        </w:rPr>
        <w:t xml:space="preserve"> </w:t>
      </w: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</w:t>
      </w:r>
      <w:r w:rsidR="00A0780C">
        <w:rPr>
          <w:b/>
          <w:bCs/>
          <w:i/>
          <w:iCs/>
          <w:sz w:val="20"/>
        </w:rPr>
        <w:t xml:space="preserve"> izvještaj o obvezama</w:t>
      </w:r>
    </w:p>
    <w:p w:rsidR="00370158" w:rsidRDefault="0037015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 šifra V001, V005 i V010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Na poziciji  za međuproračunske obveze prikazane su obveze za bolovanja na teret HZZO-a, vještačenja Medicinskog</w:t>
      </w:r>
      <w:r w:rsidR="00370158">
        <w:rPr>
          <w:b/>
          <w:bCs/>
          <w:i/>
          <w:iCs/>
          <w:sz w:val="20"/>
        </w:rPr>
        <w:t xml:space="preserve"> i prometnog  fakulteta, kao </w:t>
      </w:r>
      <w:r w:rsidR="00E915E8">
        <w:rPr>
          <w:b/>
          <w:bCs/>
          <w:i/>
          <w:iCs/>
          <w:sz w:val="20"/>
        </w:rPr>
        <w:t xml:space="preserve">i drugih poliklinika koji su međuproračunski korisnici, </w:t>
      </w:r>
      <w:r>
        <w:rPr>
          <w:b/>
          <w:bCs/>
          <w:i/>
          <w:iCs/>
          <w:sz w:val="20"/>
        </w:rPr>
        <w:t xml:space="preserve"> primljenih, plaćenih i neplaćenih  u tekućoj godini.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  <w:t xml:space="preserve">     BILJEŠKA BR.2 – šifra </w:t>
      </w:r>
      <w:r w:rsidR="00370158">
        <w:rPr>
          <w:b/>
          <w:bCs/>
          <w:i/>
          <w:iCs/>
          <w:sz w:val="20"/>
        </w:rPr>
        <w:t xml:space="preserve">N24 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Iskazana obveza</w:t>
      </w:r>
      <w:r w:rsidR="00370158">
        <w:rPr>
          <w:b/>
          <w:bCs/>
          <w:i/>
          <w:iCs/>
          <w:sz w:val="20"/>
        </w:rPr>
        <w:t xml:space="preserve"> odnosi se na kapitalna ulaganje i nabavu opreme u proračunskoj godini.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BILJEŠKA br.3 – šifra</w:t>
      </w:r>
      <w:r w:rsidR="003E7B5A">
        <w:rPr>
          <w:b/>
          <w:bCs/>
          <w:i/>
          <w:iCs/>
          <w:sz w:val="20"/>
        </w:rPr>
        <w:t xml:space="preserve"> V 007 </w:t>
      </w:r>
      <w:r>
        <w:rPr>
          <w:b/>
          <w:bCs/>
          <w:i/>
          <w:iCs/>
          <w:sz w:val="20"/>
        </w:rPr>
        <w:t xml:space="preserve">   </w:t>
      </w:r>
    </w:p>
    <w:p w:rsidR="005E28E6" w:rsidRDefault="003E7B5A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Vidljivo je da nema dospjelih obveza .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  <w:r>
        <w:rPr>
          <w:b/>
          <w:bCs/>
          <w:i/>
          <w:iCs/>
          <w:sz w:val="20"/>
        </w:rPr>
        <w:tab/>
        <w:t xml:space="preserve">  BILJEŠKA br.4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izvješću nema nikakvih odstupanja , a  prenesene obveze odgovaraju početnom stanju .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Zlataru, </w:t>
      </w:r>
      <w:r w:rsidR="00395821">
        <w:rPr>
          <w:b/>
          <w:bCs/>
          <w:i/>
          <w:iCs/>
          <w:sz w:val="20"/>
        </w:rPr>
        <w:t>30</w:t>
      </w:r>
      <w:r>
        <w:rPr>
          <w:b/>
          <w:bCs/>
          <w:i/>
          <w:iCs/>
          <w:sz w:val="20"/>
        </w:rPr>
        <w:t>. siječnja  202</w:t>
      </w:r>
      <w:r w:rsidR="00395821">
        <w:rPr>
          <w:b/>
          <w:bCs/>
          <w:i/>
          <w:iCs/>
          <w:sz w:val="20"/>
        </w:rPr>
        <w:t>5</w:t>
      </w:r>
      <w:r>
        <w:rPr>
          <w:b/>
          <w:bCs/>
          <w:i/>
          <w:iCs/>
          <w:sz w:val="20"/>
        </w:rPr>
        <w:t>. godine .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   OPĆINSKA  DRŽAVNA  ODVJETNICA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049/426 811, 426 816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Ivana Smrkulj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</w:t>
      </w:r>
    </w:p>
    <w:p w:rsidR="005E28E6" w:rsidRDefault="005E28E6"/>
    <w:sectPr w:rsidR="005E28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7"/>
    <w:rsid w:val="00124428"/>
    <w:rsid w:val="002220EC"/>
    <w:rsid w:val="00370158"/>
    <w:rsid w:val="00395821"/>
    <w:rsid w:val="003E7B5A"/>
    <w:rsid w:val="00526DD7"/>
    <w:rsid w:val="00526F9E"/>
    <w:rsid w:val="005971F6"/>
    <w:rsid w:val="005B50E4"/>
    <w:rsid w:val="005E28E6"/>
    <w:rsid w:val="006352A6"/>
    <w:rsid w:val="00654998"/>
    <w:rsid w:val="00800C4E"/>
    <w:rsid w:val="008E2957"/>
    <w:rsid w:val="00953102"/>
    <w:rsid w:val="00957130"/>
    <w:rsid w:val="00A0780C"/>
    <w:rsid w:val="00A3014E"/>
    <w:rsid w:val="00B2473B"/>
    <w:rsid w:val="00B71ECB"/>
    <w:rsid w:val="00BB403E"/>
    <w:rsid w:val="00E85D6B"/>
    <w:rsid w:val="00E915E8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9018C"/>
  <w15:chartTrackingRefBased/>
  <w15:docId w15:val="{CE3407BD-D6AE-443B-AEC6-E7F4871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E28E6"/>
    <w:pPr>
      <w:keepNext/>
      <w:jc w:val="both"/>
      <w:outlineLvl w:val="0"/>
    </w:pPr>
    <w:rPr>
      <w:b/>
      <w:bCs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28E6"/>
    <w:rPr>
      <w:rFonts w:ascii="Times New Roman" w:eastAsia="Times New Roman" w:hAnsi="Times New Roman" w:cs="Times New Roman"/>
      <w:b/>
      <w:bCs/>
      <w:i/>
      <w:i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5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5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14</cp:revision>
  <cp:lastPrinted>2025-01-30T12:45:00Z</cp:lastPrinted>
  <dcterms:created xsi:type="dcterms:W3CDTF">2023-01-30T13:12:00Z</dcterms:created>
  <dcterms:modified xsi:type="dcterms:W3CDTF">2025-01-30T12:45:00Z</dcterms:modified>
</cp:coreProperties>
</file>