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15b514c44b9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3654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ŽUPANIJSKO DRŽAVNO ODVJETNIŠTVO U RIJECI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847.240,10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1.007.237,08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847.824,33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1.161.035,02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584,23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153.797,94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&gt;&gt;100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1.844,32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1.933,84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1.844,32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1.933,84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104,9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2.428,55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155.731,78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6412,5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većim dijelom odnosi se na plaće zaposlenih koja se prema novom Pravilniku o proračunskom računovodstvu i računskom planu knjigovodstveno ne evidentira kao rashod budućih razdoblja, već kao rashod za zaposlene u izvještajnom razdoblju.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344,43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Obzirom da se prihodi od pruženih usluga odnose isključivo na preslike i presnimavanje dijelova kaznenih spisa, ovo značajno povećanje se odnosi samo na veću količinu preslika koju su zatražile stranke u postupku.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847.824,33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1.161.035,02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poslovanja veći su u odnosu na izvještajno razdoblje prethodne godine, a znatni udio u tom povećanju odnosi se na rashode za zaposlene.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558.219,80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805.947,47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Bruto plaće veće su obzirom da su Zakonom o izmjeni zakona o plaći i drugim materijalnim pravima pravosudnih dužnosnika povećane plaće dužnosnika kroz podizanje osnovice, a također Uredbom i propisima povećane su plaće službenika i namještenika, zbog čega je došlo do znatnog odstupanja u odnosu na izvještajno razdoblje prethodne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17.730,68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26.033,63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materijalnih prava koja su priznata dužnosnicima (regres, uskrsnice, božićnice) povećani su ostali rashodi za zaposlene.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126.550,42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168.712,60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bruto plaće, povećani su i doprinosi na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mirovinsko osiguranje za staž s povećanim trajanjem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33.801,31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34.970,87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Doprinosi za mirovinsko osiguranje za staž s povećanim trajanjem uplaćeni su za dva zamjenika koji su radili na poslovima istrage u razdoblju od 2011.-2018.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92.749,11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133.741,73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bruto plaće, povećani su i doprinosi za obvezno zdravstveno osiguranje.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433,37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troškova osobama izvan radnog odnosa odnose na troškove za svjedoke u kaznenim postupcima. Budući da se u jednom kaznenom predmetu saslušavao veći broj svjedoka koji nisu s područja Rijeke, to je i iznos koji je isplaćen veći u odnosi na izvještajno razdoblje prethodne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17.871,83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22.189,19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Budući da su doprinosi za mirovinsko osiguranje za staž s povećanim trajanjem uplaćeni za dva zamjenika koji su radili na poslovima istrage u razdoblju od 2011.-2018. godine, obračunata je i uplaćena kamata od svakog pojedinog iznosa do isplate.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584,23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153.797,94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značajnije je veći u odnosu na izvještajno razdoblje prethodne godine obzirom da se ovaj manjak većim dijelom odnosi na plaću zaposlenih koja se prema novom Pravilniku o proračunskom računovodstvu i računskom planu knjigovodstveno ne evidentira kao rashod budućih razdoblja.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sve obveze su nedospjele.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1ab639ae4729" /></Relationships>
</file>