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2154F9" w14:textId="4C0B913E" w:rsidR="00E91848" w:rsidRPr="00D72F52" w:rsidRDefault="001A0D30">
      <w:pPr>
        <w:pStyle w:val="Tijeloteksta"/>
        <w:ind w:left="106"/>
        <w:rPr>
          <w:sz w:val="24"/>
          <w:szCs w:val="24"/>
        </w:rPr>
      </w:pPr>
      <w:r w:rsidRPr="00D72F52">
        <w:rPr>
          <w:noProof/>
          <w:sz w:val="24"/>
          <w:szCs w:val="24"/>
          <w:lang w:eastAsia="hr-HR"/>
        </w:rPr>
        <mc:AlternateContent>
          <mc:Choice Requires="wpg">
            <w:drawing>
              <wp:inline distT="0" distB="0" distL="0" distR="0" wp14:anchorId="4A17DF3E" wp14:editId="5FB55F08">
                <wp:extent cx="6480175" cy="314325"/>
                <wp:effectExtent l="13335" t="3175" r="12065" b="6350"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14325"/>
                          <a:chOff x="0" y="0"/>
                          <a:chExt cx="10205" cy="495"/>
                        </a:xfrm>
                      </wpg:grpSpPr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10205" cy="48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"/>
                        <wps:cNvSpPr>
                          <a:spLocks/>
                        </wps:cNvSpPr>
                        <wps:spPr bwMode="auto">
                          <a:xfrm>
                            <a:off x="1" y="5"/>
                            <a:ext cx="10204" cy="485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0204"/>
                              <a:gd name="T2" fmla="+- 0 5 5"/>
                              <a:gd name="T3" fmla="*/ 5 h 485"/>
                              <a:gd name="T4" fmla="+- 0 10205 1"/>
                              <a:gd name="T5" fmla="*/ T4 w 10204"/>
                              <a:gd name="T6" fmla="+- 0 5 5"/>
                              <a:gd name="T7" fmla="*/ 5 h 485"/>
                              <a:gd name="T8" fmla="+- 0 1 1"/>
                              <a:gd name="T9" fmla="*/ T8 w 10204"/>
                              <a:gd name="T10" fmla="+- 0 490 5"/>
                              <a:gd name="T11" fmla="*/ 490 h 485"/>
                              <a:gd name="T12" fmla="+- 0 10205 1"/>
                              <a:gd name="T13" fmla="*/ T12 w 10204"/>
                              <a:gd name="T14" fmla="+- 0 490 5"/>
                              <a:gd name="T15" fmla="*/ 490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04" h="485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  <a:moveTo>
                                  <a:pt x="0" y="485"/>
                                </a:moveTo>
                                <a:lnTo>
                                  <a:pt x="10204" y="4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"/>
                            <a:ext cx="10205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7E689" w14:textId="1458D88A" w:rsidR="00E91848" w:rsidRDefault="007E1FF5">
                              <w:pPr>
                                <w:spacing w:before="130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pacing w:val="16"/>
                                  <w:sz w:val="30"/>
                                </w:rPr>
                                <w:t>1097</w:t>
                              </w:r>
                              <w:r w:rsidR="008E44E1">
                                <w:rPr>
                                  <w:b/>
                                  <w:spacing w:val="16"/>
                                  <w:sz w:val="30"/>
                                </w:rPr>
                                <w:t>5</w:t>
                              </w:r>
                              <w:r w:rsidR="00E34DE2">
                                <w:rPr>
                                  <w:b/>
                                  <w:spacing w:val="4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sz w:val="30"/>
                                </w:rPr>
                                <w:t>Županijsko</w:t>
                              </w:r>
                              <w:r w:rsidR="007D31F7">
                                <w:rPr>
                                  <w:b/>
                                  <w:spacing w:val="16"/>
                                  <w:sz w:val="30"/>
                                </w:rPr>
                                <w:t xml:space="preserve"> državno odvjetništvo u </w:t>
                              </w:r>
                              <w:r w:rsidR="00E34DE2">
                                <w:rPr>
                                  <w:b/>
                                  <w:spacing w:val="19"/>
                                  <w:sz w:val="30"/>
                                </w:rPr>
                                <w:t>Osijek</w:t>
                              </w:r>
                              <w:r w:rsidR="007D31F7">
                                <w:rPr>
                                  <w:b/>
                                  <w:spacing w:val="19"/>
                                  <w:sz w:val="30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7DF3E" id="Group 7" o:spid="_x0000_s1026" style="width:510.25pt;height:24.75pt;mso-position-horizontal-relative:char;mso-position-vertical-relative:line" coordsize="1020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">
                <v:rect id="Rectangle 10" o:spid="_x0000_s1027" style="position:absolute;top:10;width:1020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" fillcolor="#e6e6e6" stroked="f"/>
                <v:shape id="AutoShape 9" o:spid="_x0000_s1028" style="position:absolute;left:1;top:5;width:10204;height:485;visibility:visible;mso-wrap-style:square;v-text-anchor:top" coordsize="1020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" path="m,l10204,m,485r10204,e" filled="f" strokeweight=".5pt">
                  <v:path arrowok="t" o:connecttype="custom" o:connectlocs="0,5;10204,5;0,490;10204,49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top:10;width:10205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9E7E689" w14:textId="1458D88A" w:rsidR="00E91848" w:rsidRDefault="007E1FF5">
                        <w:pPr>
                          <w:spacing w:before="130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16"/>
                            <w:sz w:val="30"/>
                          </w:rPr>
                          <w:t>1097</w:t>
                        </w:r>
                        <w:r w:rsidR="008E44E1">
                          <w:rPr>
                            <w:b/>
                            <w:spacing w:val="16"/>
                            <w:sz w:val="30"/>
                          </w:rPr>
                          <w:t>5</w:t>
                        </w:r>
                        <w:r w:rsidR="00E34DE2">
                          <w:rPr>
                            <w:b/>
                            <w:spacing w:val="4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sz w:val="30"/>
                          </w:rPr>
                          <w:t>Županijsko</w:t>
                        </w:r>
                        <w:r w:rsidR="007D31F7">
                          <w:rPr>
                            <w:b/>
                            <w:spacing w:val="16"/>
                            <w:sz w:val="30"/>
                          </w:rPr>
                          <w:t xml:space="preserve"> državno odvjetništvo u </w:t>
                        </w:r>
                        <w:r w:rsidR="00E34DE2">
                          <w:rPr>
                            <w:b/>
                            <w:spacing w:val="19"/>
                            <w:sz w:val="30"/>
                          </w:rPr>
                          <w:t>Osijek</w:t>
                        </w:r>
                        <w:r w:rsidR="007D31F7">
                          <w:rPr>
                            <w:b/>
                            <w:spacing w:val="19"/>
                            <w:sz w:val="30"/>
                          </w:rPr>
                          <w:t>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790BAD" w14:textId="77777777" w:rsidR="007D31F7" w:rsidRPr="00D72F52" w:rsidRDefault="007D31F7">
      <w:pPr>
        <w:pStyle w:val="Tijeloteksta"/>
        <w:ind w:left="106"/>
        <w:rPr>
          <w:sz w:val="24"/>
          <w:szCs w:val="24"/>
        </w:rPr>
      </w:pPr>
    </w:p>
    <w:p w14:paraId="0B5C7177" w14:textId="77777777" w:rsidR="00BB0C44" w:rsidRPr="00D72F52" w:rsidRDefault="00BB0C44">
      <w:pPr>
        <w:pStyle w:val="Tijeloteksta"/>
        <w:ind w:left="106"/>
        <w:rPr>
          <w:sz w:val="24"/>
          <w:szCs w:val="24"/>
        </w:rPr>
      </w:pPr>
    </w:p>
    <w:p w14:paraId="798D72F5" w14:textId="1283DD5E" w:rsidR="007D31F7" w:rsidRPr="00D72F52" w:rsidRDefault="00982222" w:rsidP="00982222">
      <w:pPr>
        <w:pStyle w:val="Tijeloteksta"/>
        <w:rPr>
          <w:sz w:val="24"/>
          <w:szCs w:val="24"/>
        </w:rPr>
      </w:pPr>
      <w:r w:rsidRPr="00D72F52">
        <w:rPr>
          <w:sz w:val="24"/>
          <w:szCs w:val="24"/>
        </w:rPr>
        <w:t xml:space="preserve">Razdjel: </w:t>
      </w:r>
      <w:r w:rsidR="008E44E1" w:rsidRPr="00D72F52">
        <w:rPr>
          <w:sz w:val="24"/>
          <w:szCs w:val="24"/>
        </w:rPr>
        <w:t xml:space="preserve">   </w:t>
      </w:r>
      <w:r w:rsidR="0081050E" w:rsidRPr="00D72F52">
        <w:rPr>
          <w:sz w:val="24"/>
          <w:szCs w:val="24"/>
        </w:rPr>
        <w:t>109 MINISTARSTVO PRAVOSUĐA,</w:t>
      </w:r>
      <w:r w:rsidRPr="00D72F52">
        <w:rPr>
          <w:sz w:val="24"/>
          <w:szCs w:val="24"/>
        </w:rPr>
        <w:t xml:space="preserve"> UPRAVE</w:t>
      </w:r>
      <w:r w:rsidR="0081050E" w:rsidRPr="00D72F52">
        <w:rPr>
          <w:sz w:val="24"/>
          <w:szCs w:val="24"/>
        </w:rPr>
        <w:t xml:space="preserve"> I DIGITALNE TRANSFORMACIJE</w:t>
      </w:r>
    </w:p>
    <w:p w14:paraId="5C70AB8A" w14:textId="06759240" w:rsidR="00982222" w:rsidRPr="00D72F52" w:rsidRDefault="00982222" w:rsidP="00982222">
      <w:pPr>
        <w:pStyle w:val="Tijeloteksta"/>
        <w:rPr>
          <w:sz w:val="24"/>
          <w:szCs w:val="24"/>
        </w:rPr>
      </w:pPr>
      <w:r w:rsidRPr="00D72F52">
        <w:rPr>
          <w:sz w:val="24"/>
          <w:szCs w:val="24"/>
        </w:rPr>
        <w:t>Glava</w:t>
      </w:r>
      <w:r w:rsidR="008E44E1" w:rsidRPr="00D72F52">
        <w:rPr>
          <w:sz w:val="24"/>
          <w:szCs w:val="24"/>
        </w:rPr>
        <w:t xml:space="preserve">:   </w:t>
      </w:r>
      <w:r w:rsidRPr="00D72F52">
        <w:rPr>
          <w:sz w:val="24"/>
          <w:szCs w:val="24"/>
        </w:rPr>
        <w:t xml:space="preserve"> </w:t>
      </w:r>
      <w:r w:rsidR="008E44E1" w:rsidRPr="00D72F52">
        <w:rPr>
          <w:sz w:val="24"/>
          <w:szCs w:val="24"/>
        </w:rPr>
        <w:t xml:space="preserve">   </w:t>
      </w:r>
      <w:r w:rsidR="007E1FF5" w:rsidRPr="00D72F52">
        <w:rPr>
          <w:sz w:val="24"/>
          <w:szCs w:val="24"/>
        </w:rPr>
        <w:t>10975 ŽUPANIJSKO</w:t>
      </w:r>
      <w:r w:rsidRPr="00D72F52">
        <w:rPr>
          <w:sz w:val="24"/>
          <w:szCs w:val="24"/>
        </w:rPr>
        <w:t xml:space="preserve"> DRŽAVNO ODVJETNIŠTVO U OSIJEKU</w:t>
      </w:r>
    </w:p>
    <w:p w14:paraId="1D0392A6" w14:textId="5F26FB72" w:rsidR="006604FC" w:rsidRPr="00D72F52" w:rsidRDefault="00743C3F" w:rsidP="006604FC">
      <w:pPr>
        <w:rPr>
          <w:sz w:val="24"/>
          <w:szCs w:val="24"/>
          <w:lang w:eastAsia="hr-HR"/>
        </w:rPr>
      </w:pPr>
      <w:r w:rsidRPr="00D72F52">
        <w:rPr>
          <w:sz w:val="24"/>
          <w:szCs w:val="24"/>
        </w:rPr>
        <w:t>Aktivnost:  A640</w:t>
      </w:r>
      <w:r w:rsidR="008E44E1" w:rsidRPr="00D72F52">
        <w:rPr>
          <w:sz w:val="24"/>
          <w:szCs w:val="24"/>
        </w:rPr>
        <w:t>000</w:t>
      </w:r>
      <w:r w:rsidR="006604FC" w:rsidRPr="00D72F52">
        <w:rPr>
          <w:sz w:val="24"/>
          <w:szCs w:val="24"/>
        </w:rPr>
        <w:t xml:space="preserve"> </w:t>
      </w:r>
      <w:r w:rsidR="006604FC" w:rsidRPr="00D72F52">
        <w:rPr>
          <w:sz w:val="24"/>
          <w:szCs w:val="24"/>
          <w:lang w:eastAsia="hr-HR"/>
        </w:rPr>
        <w:t>PROGON POČINITELJA KAZNENIH I KAŽNJIVIH DJELA I ZAŠTITA IMOVINE RH PRED NADLEŽNIM SUDOVIMA I TIJELIMA</w:t>
      </w:r>
    </w:p>
    <w:p w14:paraId="7589309C" w14:textId="2F001211" w:rsidR="0081050E" w:rsidRPr="00D72F52" w:rsidRDefault="0081050E" w:rsidP="006604FC">
      <w:pPr>
        <w:rPr>
          <w:sz w:val="24"/>
          <w:szCs w:val="24"/>
          <w:lang w:eastAsia="hr-HR"/>
        </w:rPr>
      </w:pPr>
      <w:r w:rsidRPr="00D72F52">
        <w:rPr>
          <w:sz w:val="24"/>
          <w:szCs w:val="24"/>
          <w:lang w:eastAsia="hr-HR"/>
        </w:rPr>
        <w:t>Program:   2812-DJELOVANJE DRŽAVNIH ODVJENTIŠTAVA</w:t>
      </w:r>
    </w:p>
    <w:p w14:paraId="1FD783A4" w14:textId="77777777" w:rsidR="003F41D0" w:rsidRPr="00D72F52" w:rsidRDefault="003F41D0" w:rsidP="006604FC">
      <w:pPr>
        <w:rPr>
          <w:sz w:val="24"/>
          <w:szCs w:val="24"/>
          <w:lang w:eastAsia="hr-HR"/>
        </w:rPr>
      </w:pPr>
    </w:p>
    <w:p w14:paraId="0EE2DA97" w14:textId="77777777" w:rsidR="00616193" w:rsidRPr="00D72F52" w:rsidRDefault="00616193" w:rsidP="006604FC">
      <w:pPr>
        <w:rPr>
          <w:sz w:val="24"/>
          <w:szCs w:val="24"/>
          <w:lang w:eastAsia="hr-HR"/>
        </w:rPr>
      </w:pPr>
    </w:p>
    <w:p w14:paraId="7C4C04AE" w14:textId="3FA42C8B" w:rsidR="00BB0C44" w:rsidRPr="00D72F52" w:rsidRDefault="00BB0C44" w:rsidP="006604FC">
      <w:pPr>
        <w:rPr>
          <w:sz w:val="24"/>
          <w:szCs w:val="24"/>
          <w:lang w:eastAsia="hr-HR"/>
        </w:rPr>
      </w:pPr>
    </w:p>
    <w:p w14:paraId="184DA338" w14:textId="77777777" w:rsidR="000B1694" w:rsidRPr="00D72F52" w:rsidRDefault="000B1694" w:rsidP="006604FC">
      <w:pPr>
        <w:rPr>
          <w:sz w:val="24"/>
          <w:szCs w:val="24"/>
          <w:lang w:eastAsia="hr-HR"/>
        </w:rPr>
      </w:pPr>
    </w:p>
    <w:p w14:paraId="15691BD8" w14:textId="1FF1C8EF" w:rsidR="008E44E1" w:rsidRPr="00D72F52" w:rsidRDefault="008E44E1" w:rsidP="00982222">
      <w:pPr>
        <w:pStyle w:val="Tijeloteksta"/>
        <w:rPr>
          <w:sz w:val="24"/>
          <w:szCs w:val="24"/>
        </w:rPr>
      </w:pPr>
    </w:p>
    <w:p w14:paraId="74799BFF" w14:textId="77777777" w:rsidR="00BB0C44" w:rsidRPr="00D72F52" w:rsidRDefault="00BB0C44" w:rsidP="00BB0C44">
      <w:pPr>
        <w:pStyle w:val="Tijeloteksta"/>
        <w:jc w:val="center"/>
        <w:rPr>
          <w:b/>
          <w:sz w:val="24"/>
          <w:szCs w:val="24"/>
        </w:rPr>
      </w:pPr>
      <w:r w:rsidRPr="00D72F52">
        <w:rPr>
          <w:b/>
          <w:sz w:val="24"/>
          <w:szCs w:val="24"/>
        </w:rPr>
        <w:t xml:space="preserve">OBRAZLOŽENJE POSEBNOG DIJELA FINANCIJSKOG PLANA ZA RAZDOBLJE </w:t>
      </w:r>
    </w:p>
    <w:p w14:paraId="3F46331A" w14:textId="2DDDACF5" w:rsidR="00BB0C44" w:rsidRPr="00D72F52" w:rsidRDefault="00B21D6E" w:rsidP="00BB0C44">
      <w:pPr>
        <w:pStyle w:val="Tijeloteksta"/>
        <w:jc w:val="center"/>
        <w:rPr>
          <w:b/>
          <w:sz w:val="24"/>
          <w:szCs w:val="24"/>
        </w:rPr>
      </w:pPr>
      <w:r w:rsidRPr="00D72F52">
        <w:rPr>
          <w:b/>
          <w:sz w:val="24"/>
          <w:szCs w:val="24"/>
        </w:rPr>
        <w:t>2026.-2028</w:t>
      </w:r>
      <w:r w:rsidR="00BB0C44" w:rsidRPr="00D72F52">
        <w:rPr>
          <w:b/>
          <w:sz w:val="24"/>
          <w:szCs w:val="24"/>
        </w:rPr>
        <w:t>. GODINE (Prilog 7b)</w:t>
      </w:r>
    </w:p>
    <w:p w14:paraId="2FE89AA3" w14:textId="77777777" w:rsidR="00616193" w:rsidRPr="00D72F52" w:rsidRDefault="00616193" w:rsidP="00BB0C44">
      <w:pPr>
        <w:pStyle w:val="Tijeloteksta"/>
        <w:jc w:val="center"/>
        <w:rPr>
          <w:b/>
          <w:sz w:val="24"/>
          <w:szCs w:val="24"/>
        </w:rPr>
      </w:pPr>
    </w:p>
    <w:p w14:paraId="2C2AD239" w14:textId="0A83BFA7" w:rsidR="00D643EF" w:rsidRPr="00D72F52" w:rsidRDefault="00D643EF" w:rsidP="00B21D6E">
      <w:pPr>
        <w:pStyle w:val="Naslov2"/>
        <w:ind w:left="0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436" w:type="dxa"/>
        <w:tblLayout w:type="fixed"/>
        <w:tblLook w:val="04A0" w:firstRow="1" w:lastRow="0" w:firstColumn="1" w:lastColumn="0" w:noHBand="0" w:noVBand="1"/>
      </w:tblPr>
      <w:tblGrid>
        <w:gridCol w:w="738"/>
        <w:gridCol w:w="1632"/>
        <w:gridCol w:w="1632"/>
      </w:tblGrid>
      <w:tr w:rsidR="0090532E" w:rsidRPr="00D72F52" w14:paraId="7313106E" w14:textId="77777777" w:rsidTr="00D40120">
        <w:trPr>
          <w:trHeight w:val="300"/>
        </w:trPr>
        <w:tc>
          <w:tcPr>
            <w:tcW w:w="738" w:type="dxa"/>
            <w:noWrap/>
          </w:tcPr>
          <w:p w14:paraId="044C1078" w14:textId="4B4C7760" w:rsidR="0090532E" w:rsidRPr="00D72F52" w:rsidRDefault="0090532E" w:rsidP="00D40120">
            <w:pPr>
              <w:rPr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32" w:type="dxa"/>
            <w:noWrap/>
          </w:tcPr>
          <w:p w14:paraId="75206B96" w14:textId="0902CBAE" w:rsidR="0090532E" w:rsidRPr="00D72F52" w:rsidRDefault="0090532E" w:rsidP="0090532E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32" w:type="dxa"/>
            <w:noWrap/>
          </w:tcPr>
          <w:p w14:paraId="77CC48D5" w14:textId="39CD0342" w:rsidR="0090532E" w:rsidRPr="00D72F52" w:rsidRDefault="0090532E" w:rsidP="0090532E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91657" w:rsidRPr="00D72F52" w14:paraId="701B7B23" w14:textId="77777777" w:rsidTr="00D40120">
        <w:trPr>
          <w:trHeight w:val="300"/>
        </w:trPr>
        <w:tc>
          <w:tcPr>
            <w:tcW w:w="738" w:type="dxa"/>
            <w:noWrap/>
          </w:tcPr>
          <w:p w14:paraId="754F8C84" w14:textId="77777777" w:rsidR="00491657" w:rsidRPr="00D72F52" w:rsidRDefault="00491657" w:rsidP="0090532E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32" w:type="dxa"/>
            <w:noWrap/>
          </w:tcPr>
          <w:p w14:paraId="07CE8C2F" w14:textId="77777777" w:rsidR="00491657" w:rsidRPr="00D72F52" w:rsidRDefault="00491657" w:rsidP="0090532E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32" w:type="dxa"/>
            <w:noWrap/>
          </w:tcPr>
          <w:p w14:paraId="19E48DAA" w14:textId="77777777" w:rsidR="00491657" w:rsidRPr="00D72F52" w:rsidRDefault="00491657" w:rsidP="0090532E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2F1A53B4" w14:textId="48863E63" w:rsidR="0027064B" w:rsidRPr="00D72F52" w:rsidRDefault="002A6195" w:rsidP="00D40120">
      <w:pPr>
        <w:pStyle w:val="Tijeloteksta"/>
        <w:spacing w:before="91"/>
        <w:ind w:right="126"/>
        <w:jc w:val="both"/>
        <w:rPr>
          <w:sz w:val="24"/>
          <w:szCs w:val="24"/>
        </w:rPr>
      </w:pPr>
      <w:r w:rsidRPr="00D72F52">
        <w:rPr>
          <w:sz w:val="24"/>
          <w:szCs w:val="24"/>
        </w:rPr>
        <w:t>Unutar aktivnosti A640</w:t>
      </w:r>
      <w:r w:rsidR="0027064B" w:rsidRPr="00D72F52">
        <w:rPr>
          <w:sz w:val="24"/>
          <w:szCs w:val="24"/>
        </w:rPr>
        <w:t>000 izvor 11</w:t>
      </w:r>
      <w:r w:rsidR="008C16CB" w:rsidRPr="00D72F52">
        <w:rPr>
          <w:sz w:val="24"/>
          <w:szCs w:val="24"/>
        </w:rPr>
        <w:t xml:space="preserve"> </w:t>
      </w:r>
      <w:r w:rsidR="0027064B" w:rsidRPr="00D72F52">
        <w:rPr>
          <w:sz w:val="24"/>
          <w:szCs w:val="24"/>
        </w:rPr>
        <w:t>-</w:t>
      </w:r>
      <w:r w:rsidR="008C16CB" w:rsidRPr="00D72F52">
        <w:rPr>
          <w:sz w:val="24"/>
          <w:szCs w:val="24"/>
        </w:rPr>
        <w:t xml:space="preserve"> </w:t>
      </w:r>
      <w:r w:rsidR="0027064B" w:rsidRPr="00D72F52">
        <w:rPr>
          <w:sz w:val="24"/>
          <w:szCs w:val="24"/>
        </w:rPr>
        <w:t>opći prihodi i primici osiguravaju se sredstva nužna za troš</w:t>
      </w:r>
      <w:r w:rsidR="002528D9" w:rsidRPr="00D72F52">
        <w:rPr>
          <w:sz w:val="24"/>
          <w:szCs w:val="24"/>
        </w:rPr>
        <w:t>kov</w:t>
      </w:r>
      <w:r w:rsidR="00D40120" w:rsidRPr="00D72F52">
        <w:rPr>
          <w:sz w:val="24"/>
          <w:szCs w:val="24"/>
        </w:rPr>
        <w:t>e plaća i ostalih troškova za 51</w:t>
      </w:r>
      <w:r w:rsidR="0027064B" w:rsidRPr="00D72F52">
        <w:rPr>
          <w:sz w:val="24"/>
          <w:szCs w:val="24"/>
        </w:rPr>
        <w:t xml:space="preserve"> zaposlenika </w:t>
      </w:r>
      <w:r w:rsidR="002528D9" w:rsidRPr="00D72F52">
        <w:rPr>
          <w:sz w:val="24"/>
          <w:szCs w:val="24"/>
        </w:rPr>
        <w:t>Županijskog</w:t>
      </w:r>
      <w:r w:rsidR="0027064B" w:rsidRPr="00D72F52">
        <w:rPr>
          <w:sz w:val="24"/>
          <w:szCs w:val="24"/>
        </w:rPr>
        <w:t xml:space="preserve"> državnog odvjetništva u Osijeku. Također, na aktivnosti se planiraju sredstva za pokriće materijalnih rashoda koji nastaju u redovnom</w:t>
      </w:r>
      <w:r w:rsidR="0027064B" w:rsidRPr="00D72F52">
        <w:rPr>
          <w:spacing w:val="1"/>
          <w:sz w:val="24"/>
          <w:szCs w:val="24"/>
        </w:rPr>
        <w:t xml:space="preserve"> </w:t>
      </w:r>
      <w:r w:rsidR="0027064B" w:rsidRPr="00D72F52">
        <w:rPr>
          <w:sz w:val="24"/>
          <w:szCs w:val="24"/>
        </w:rPr>
        <w:t>poslovanju kao što su troškovi pošte, prijevoza, energije, uredskog materijala, službenih putovanja, intelektualnih usluga i</w:t>
      </w:r>
      <w:r w:rsidR="0027064B" w:rsidRPr="00D72F52">
        <w:rPr>
          <w:spacing w:val="1"/>
          <w:sz w:val="24"/>
          <w:szCs w:val="24"/>
        </w:rPr>
        <w:t xml:space="preserve"> </w:t>
      </w:r>
      <w:r w:rsidR="003F41D0" w:rsidRPr="00D72F52">
        <w:rPr>
          <w:sz w:val="24"/>
          <w:szCs w:val="24"/>
        </w:rPr>
        <w:t>ostalo prema stavkama plana.</w:t>
      </w:r>
    </w:p>
    <w:p w14:paraId="61143221" w14:textId="77777777" w:rsidR="0071498B" w:rsidRPr="00D72F52" w:rsidRDefault="0071498B" w:rsidP="00D40120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14:paraId="5C983950" w14:textId="23B6C0BE" w:rsidR="00D7190C" w:rsidRPr="00D72F52" w:rsidRDefault="00D75E8F" w:rsidP="0071498B">
      <w:pPr>
        <w:pStyle w:val="Tijeloteksta"/>
        <w:spacing w:before="91"/>
        <w:ind w:left="110" w:right="126"/>
        <w:jc w:val="both"/>
        <w:rPr>
          <w:sz w:val="24"/>
          <w:szCs w:val="24"/>
        </w:rPr>
      </w:pPr>
      <w:r w:rsidRPr="00D72F52">
        <w:rPr>
          <w:sz w:val="24"/>
          <w:szCs w:val="24"/>
        </w:rPr>
        <w:t xml:space="preserve">Trošak </w:t>
      </w:r>
      <w:r w:rsidR="005F746F" w:rsidRPr="00D72F52">
        <w:rPr>
          <w:sz w:val="24"/>
          <w:szCs w:val="24"/>
        </w:rPr>
        <w:t>rashoda za zaposlene</w:t>
      </w:r>
      <w:r w:rsidR="00031127" w:rsidRPr="00D72F52">
        <w:rPr>
          <w:sz w:val="24"/>
          <w:szCs w:val="24"/>
        </w:rPr>
        <w:t xml:space="preserve"> u 2026</w:t>
      </w:r>
      <w:r w:rsidR="00354B3B" w:rsidRPr="00D72F52">
        <w:rPr>
          <w:sz w:val="24"/>
          <w:szCs w:val="24"/>
        </w:rPr>
        <w:t xml:space="preserve">. godini obuhvaća </w:t>
      </w:r>
      <w:r w:rsidR="00031127" w:rsidRPr="00D72F52">
        <w:rPr>
          <w:sz w:val="24"/>
          <w:szCs w:val="24"/>
        </w:rPr>
        <w:t>87,30%</w:t>
      </w:r>
      <w:r w:rsidRPr="00D72F52">
        <w:rPr>
          <w:sz w:val="24"/>
          <w:szCs w:val="24"/>
        </w:rPr>
        <w:t xml:space="preserve"> ukupnoga plan</w:t>
      </w:r>
      <w:r w:rsidR="00AF0550" w:rsidRPr="00D72F52">
        <w:rPr>
          <w:sz w:val="24"/>
          <w:szCs w:val="24"/>
        </w:rPr>
        <w:t xml:space="preserve">a, u </w:t>
      </w:r>
      <w:r w:rsidR="00030B7A" w:rsidRPr="00D72F52">
        <w:rPr>
          <w:sz w:val="24"/>
          <w:szCs w:val="24"/>
        </w:rPr>
        <w:t xml:space="preserve">projekciji </w:t>
      </w:r>
      <w:r w:rsidR="00031127" w:rsidRPr="00D72F52">
        <w:rPr>
          <w:sz w:val="24"/>
          <w:szCs w:val="24"/>
        </w:rPr>
        <w:t>2027</w:t>
      </w:r>
      <w:r w:rsidR="00354B3B" w:rsidRPr="00D72F52">
        <w:rPr>
          <w:sz w:val="24"/>
          <w:szCs w:val="24"/>
        </w:rPr>
        <w:t xml:space="preserve">. obuhvaća </w:t>
      </w:r>
      <w:r w:rsidR="00031127" w:rsidRPr="00D72F52">
        <w:rPr>
          <w:sz w:val="24"/>
          <w:szCs w:val="24"/>
        </w:rPr>
        <w:t>88,00% ukupnoga plana te 88,50</w:t>
      </w:r>
      <w:r w:rsidR="00521B0F" w:rsidRPr="00D72F52">
        <w:rPr>
          <w:sz w:val="24"/>
          <w:szCs w:val="24"/>
        </w:rPr>
        <w:t>%</w:t>
      </w:r>
      <w:r w:rsidR="007A3E33" w:rsidRPr="00D72F52">
        <w:rPr>
          <w:sz w:val="24"/>
          <w:szCs w:val="24"/>
        </w:rPr>
        <w:t xml:space="preserve"> </w:t>
      </w:r>
      <w:r w:rsidR="008C16CB" w:rsidRPr="00D72F52">
        <w:rPr>
          <w:sz w:val="24"/>
          <w:szCs w:val="24"/>
        </w:rPr>
        <w:t xml:space="preserve">u </w:t>
      </w:r>
      <w:r w:rsidR="00031127" w:rsidRPr="00D72F52">
        <w:rPr>
          <w:sz w:val="24"/>
          <w:szCs w:val="24"/>
        </w:rPr>
        <w:t>2028</w:t>
      </w:r>
      <w:r w:rsidRPr="00D72F52">
        <w:rPr>
          <w:sz w:val="24"/>
          <w:szCs w:val="24"/>
        </w:rPr>
        <w:t>. godin</w:t>
      </w:r>
      <w:r w:rsidR="008C16CB" w:rsidRPr="00D72F52">
        <w:rPr>
          <w:sz w:val="24"/>
          <w:szCs w:val="24"/>
        </w:rPr>
        <w:t>i</w:t>
      </w:r>
      <w:r w:rsidRPr="00D72F52">
        <w:rPr>
          <w:sz w:val="24"/>
          <w:szCs w:val="24"/>
        </w:rPr>
        <w:t>.</w:t>
      </w:r>
    </w:p>
    <w:p w14:paraId="19E22625" w14:textId="7E4AD076" w:rsidR="00013414" w:rsidRDefault="00013414" w:rsidP="00C44DD7">
      <w:pPr>
        <w:pStyle w:val="Naslov1"/>
        <w:tabs>
          <w:tab w:val="left" w:pos="10314"/>
        </w:tabs>
        <w:spacing w:before="96"/>
        <w:rPr>
          <w:b w:val="0"/>
          <w:sz w:val="24"/>
          <w:szCs w:val="24"/>
        </w:rPr>
      </w:pPr>
    </w:p>
    <w:p w14:paraId="172C45E4" w14:textId="04104186" w:rsidR="00D72F52" w:rsidRDefault="00D72F52" w:rsidP="00C44DD7">
      <w:pPr>
        <w:pStyle w:val="Naslov1"/>
        <w:tabs>
          <w:tab w:val="left" w:pos="10314"/>
        </w:tabs>
        <w:spacing w:before="96"/>
        <w:rPr>
          <w:b w:val="0"/>
          <w:sz w:val="24"/>
          <w:szCs w:val="24"/>
        </w:rPr>
      </w:pPr>
    </w:p>
    <w:p w14:paraId="7EAE66F3" w14:textId="77777777" w:rsidR="00D72F52" w:rsidRPr="00D72F52" w:rsidRDefault="00D72F52" w:rsidP="00C44DD7">
      <w:pPr>
        <w:pStyle w:val="Naslov1"/>
        <w:tabs>
          <w:tab w:val="left" w:pos="10314"/>
        </w:tabs>
        <w:spacing w:before="96"/>
        <w:rPr>
          <w:b w:val="0"/>
          <w:sz w:val="24"/>
          <w:szCs w:val="24"/>
        </w:rPr>
      </w:pPr>
    </w:p>
    <w:p w14:paraId="12FC29E7" w14:textId="1E0A8BCF" w:rsidR="00171B33" w:rsidRPr="00D72F52" w:rsidRDefault="00171B33" w:rsidP="002E6669">
      <w:pPr>
        <w:pStyle w:val="Naslov2"/>
        <w:ind w:left="0"/>
        <w:rPr>
          <w:sz w:val="24"/>
          <w:szCs w:val="24"/>
        </w:rPr>
      </w:pPr>
      <w:r w:rsidRPr="00D72F52">
        <w:rPr>
          <w:sz w:val="24"/>
          <w:szCs w:val="24"/>
        </w:rPr>
        <w:t>Obrazloženja</w:t>
      </w:r>
      <w:r w:rsidR="007D28C3" w:rsidRPr="00D72F52">
        <w:rPr>
          <w:sz w:val="24"/>
          <w:szCs w:val="24"/>
        </w:rPr>
        <w:t xml:space="preserve"> financijskog plana i postupak izračuna</w:t>
      </w:r>
      <w:r w:rsidR="00031127" w:rsidRPr="00D72F52">
        <w:rPr>
          <w:sz w:val="24"/>
          <w:szCs w:val="24"/>
        </w:rPr>
        <w:t xml:space="preserve"> za plaće i doprinose  2026</w:t>
      </w:r>
      <w:r w:rsidRPr="00D72F52">
        <w:rPr>
          <w:sz w:val="24"/>
          <w:szCs w:val="24"/>
        </w:rPr>
        <w:t>.</w:t>
      </w:r>
    </w:p>
    <w:p w14:paraId="019719C7" w14:textId="41A2E1CA" w:rsidR="000E59EA" w:rsidRPr="00D72F52" w:rsidRDefault="000E59EA" w:rsidP="002E6669">
      <w:pPr>
        <w:pStyle w:val="Naslov2"/>
        <w:ind w:left="0"/>
        <w:rPr>
          <w:sz w:val="24"/>
          <w:szCs w:val="24"/>
        </w:rPr>
      </w:pPr>
    </w:p>
    <w:p w14:paraId="0444D98B" w14:textId="2BA5C31E" w:rsidR="00D84E3D" w:rsidRPr="00D72F52" w:rsidRDefault="000E59EA" w:rsidP="000E59EA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  <w:r w:rsidRPr="00D72F52">
        <w:rPr>
          <w:color w:val="000000"/>
          <w:sz w:val="24"/>
          <w:szCs w:val="24"/>
          <w:lang w:eastAsia="hr-HR"/>
        </w:rPr>
        <w:t xml:space="preserve">ŽDO u Osijeku pri planiranju sredstva za plaće broji </w:t>
      </w:r>
      <w:r w:rsidR="00D84E3D" w:rsidRPr="00D72F52">
        <w:rPr>
          <w:color w:val="000000"/>
          <w:sz w:val="24"/>
          <w:szCs w:val="24"/>
          <w:lang w:eastAsia="hr-HR"/>
        </w:rPr>
        <w:t xml:space="preserve"> 17 dužnosnika (1 ŽDO i 16</w:t>
      </w:r>
      <w:r w:rsidRPr="00D72F52">
        <w:rPr>
          <w:color w:val="000000"/>
          <w:sz w:val="24"/>
          <w:szCs w:val="24"/>
          <w:lang w:eastAsia="hr-HR"/>
        </w:rPr>
        <w:t xml:space="preserve"> ZŽDO), 25 službenika te</w:t>
      </w:r>
      <w:r w:rsidR="00D84E3D" w:rsidRPr="00D72F52">
        <w:rPr>
          <w:color w:val="000000"/>
          <w:sz w:val="24"/>
          <w:szCs w:val="24"/>
          <w:lang w:eastAsia="hr-HR"/>
        </w:rPr>
        <w:t xml:space="preserve"> 7 namještenika što je ukupno 48</w:t>
      </w:r>
      <w:r w:rsidRPr="00D72F52">
        <w:rPr>
          <w:color w:val="000000"/>
          <w:sz w:val="24"/>
          <w:szCs w:val="24"/>
          <w:lang w:eastAsia="hr-HR"/>
        </w:rPr>
        <w:t xml:space="preserve"> zaposlenih. Ukupan bruto iznos zadnje plaće iznosi </w:t>
      </w:r>
      <w:r w:rsidR="00D84E3D" w:rsidRPr="00D72F52">
        <w:rPr>
          <w:color w:val="000000"/>
          <w:sz w:val="24"/>
          <w:szCs w:val="24"/>
          <w:lang w:eastAsia="hr-HR"/>
        </w:rPr>
        <w:t>153.612,47</w:t>
      </w:r>
      <w:r w:rsidRPr="00D72F52">
        <w:rPr>
          <w:color w:val="000000"/>
          <w:sz w:val="24"/>
          <w:szCs w:val="24"/>
          <w:lang w:eastAsia="hr-HR"/>
        </w:rPr>
        <w:t xml:space="preserve"> EUR. Pri planiranju sredstava, prijedlog proračuna za 202</w:t>
      </w:r>
      <w:r w:rsidR="00D84E3D" w:rsidRPr="00D72F52">
        <w:rPr>
          <w:color w:val="000000"/>
          <w:sz w:val="24"/>
          <w:szCs w:val="24"/>
          <w:lang w:eastAsia="hr-HR"/>
        </w:rPr>
        <w:t>6</w:t>
      </w:r>
      <w:r w:rsidRPr="00D72F52">
        <w:rPr>
          <w:color w:val="000000"/>
          <w:sz w:val="24"/>
          <w:szCs w:val="24"/>
          <w:lang w:eastAsia="hr-HR"/>
        </w:rPr>
        <w:t>. stavka 311(bruto plaća) uvećan je za zap</w:t>
      </w:r>
      <w:r w:rsidR="00CD73F8" w:rsidRPr="00D72F52">
        <w:rPr>
          <w:color w:val="000000"/>
          <w:sz w:val="24"/>
          <w:szCs w:val="24"/>
          <w:lang w:eastAsia="hr-HR"/>
        </w:rPr>
        <w:t xml:space="preserve">ošljavanje jednog </w:t>
      </w:r>
      <w:r w:rsidR="00D84E3D" w:rsidRPr="00D72F52">
        <w:rPr>
          <w:color w:val="000000"/>
          <w:sz w:val="24"/>
          <w:szCs w:val="24"/>
          <w:lang w:eastAsia="hr-HR"/>
        </w:rPr>
        <w:t xml:space="preserve">dužnosnika koji je započeo s radom u rujnu 2025. godine, jednog </w:t>
      </w:r>
      <w:proofErr w:type="spellStart"/>
      <w:r w:rsidR="00D84E3D" w:rsidRPr="00D72F52">
        <w:rPr>
          <w:color w:val="000000"/>
          <w:sz w:val="24"/>
          <w:szCs w:val="24"/>
          <w:lang w:eastAsia="hr-HR"/>
        </w:rPr>
        <w:t>državnoodvjetničkog</w:t>
      </w:r>
      <w:proofErr w:type="spellEnd"/>
      <w:r w:rsidR="00D84E3D" w:rsidRPr="00D72F52">
        <w:rPr>
          <w:color w:val="000000"/>
          <w:sz w:val="24"/>
          <w:szCs w:val="24"/>
          <w:lang w:eastAsia="hr-HR"/>
        </w:rPr>
        <w:t xml:space="preserve"> savjetnika, referenta, višeg informatičkog tehničara i višeg referenta koji još nisu započeli sa radom, ali se zapošljavanje očekuje do kraja 2025.godine. Osim toga bruto plaća projicirana je i uvećana za 3% zbog povećanja osnovice za obračun plaća koja kreće od 01.09.2025. te za minuli rad. Također računat je i doprinos za zdravstveno osiguranje. </w:t>
      </w:r>
    </w:p>
    <w:p w14:paraId="4F5594EA" w14:textId="53F9351C" w:rsidR="00D84E3D" w:rsidRPr="00D72F52" w:rsidRDefault="00D84E3D" w:rsidP="000E59EA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1A775EEC" w14:textId="321EA10A" w:rsidR="00D84E3D" w:rsidRPr="00D72F52" w:rsidRDefault="00D84E3D" w:rsidP="000E59EA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  <w:r w:rsidRPr="00D72F52">
        <w:rPr>
          <w:color w:val="000000"/>
          <w:sz w:val="24"/>
          <w:szCs w:val="24"/>
          <w:lang w:eastAsia="hr-HR"/>
        </w:rPr>
        <w:t xml:space="preserve">Prema izračunima na stavci plaća će biti potrebno prilikom rebalansa u 2026. godini iskazati nedostatna sredstva za jednu plaću dužnosnika i četiri plaće službenika. Zbog zadanih limita proračuna na skupini 31 istu stavku nismo mogli potrebno uvećati. </w:t>
      </w:r>
    </w:p>
    <w:p w14:paraId="28B2369E" w14:textId="77777777" w:rsidR="00D84E3D" w:rsidRPr="00D72F52" w:rsidRDefault="00D84E3D" w:rsidP="000E59EA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26C078C9" w14:textId="5459E21D" w:rsidR="00794B9C" w:rsidRPr="00D72F52" w:rsidRDefault="00EC4E53" w:rsidP="000E59EA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  <w:r w:rsidRPr="00D72F52">
        <w:rPr>
          <w:color w:val="000000"/>
          <w:sz w:val="24"/>
          <w:szCs w:val="24"/>
          <w:lang w:eastAsia="hr-HR"/>
        </w:rPr>
        <w:t xml:space="preserve">Stavka 3113 prekovremenog rada je projicirana prema dosadašnjoj dinamici troškova u iznosu od </w:t>
      </w:r>
      <w:r w:rsidR="00D84E3D" w:rsidRPr="00D72F52">
        <w:rPr>
          <w:color w:val="000000"/>
          <w:sz w:val="24"/>
          <w:szCs w:val="24"/>
          <w:lang w:eastAsia="hr-HR"/>
        </w:rPr>
        <w:t>14.480,00</w:t>
      </w:r>
      <w:r w:rsidRPr="00D72F52">
        <w:rPr>
          <w:color w:val="000000"/>
          <w:sz w:val="24"/>
          <w:szCs w:val="24"/>
          <w:lang w:eastAsia="hr-HR"/>
        </w:rPr>
        <w:t xml:space="preserve"> EUR-a na godišnjoj razini, uzevši u obzir </w:t>
      </w:r>
      <w:r w:rsidR="00D84E3D" w:rsidRPr="00D72F52">
        <w:rPr>
          <w:color w:val="000000"/>
          <w:sz w:val="24"/>
          <w:szCs w:val="24"/>
          <w:lang w:eastAsia="hr-HR"/>
        </w:rPr>
        <w:t xml:space="preserve">dosadašnje iznose koji su utrošeni za prekovremeni rad i nove prekovremene sate koji će biti utrošeni </w:t>
      </w:r>
      <w:r w:rsidR="0081424A" w:rsidRPr="00D72F52">
        <w:rPr>
          <w:color w:val="000000"/>
          <w:sz w:val="24"/>
          <w:szCs w:val="24"/>
          <w:lang w:eastAsia="hr-HR"/>
        </w:rPr>
        <w:t xml:space="preserve">zbog arhiviranja. </w:t>
      </w:r>
    </w:p>
    <w:p w14:paraId="2A7E267F" w14:textId="77777777" w:rsidR="00D84E3D" w:rsidRPr="00D72F52" w:rsidRDefault="00D84E3D" w:rsidP="000E59EA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33F4D32B" w14:textId="5E3244B6" w:rsidR="00EC4E53" w:rsidRPr="00D72F52" w:rsidRDefault="00EC4E53" w:rsidP="000E59EA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  <w:r w:rsidRPr="00D72F52">
        <w:rPr>
          <w:color w:val="000000"/>
          <w:sz w:val="24"/>
          <w:szCs w:val="24"/>
          <w:lang w:eastAsia="hr-HR"/>
        </w:rPr>
        <w:t xml:space="preserve">Na temelju ukupnog troška plaće 311 projiciran je iznos od 16,5% za doprinose za obvezno zdravstveno osiguranje na stavci 3132 u iznosu </w:t>
      </w:r>
      <w:r w:rsidR="00794B9C" w:rsidRPr="00D72F52">
        <w:rPr>
          <w:color w:val="000000"/>
          <w:sz w:val="24"/>
          <w:szCs w:val="24"/>
          <w:lang w:eastAsia="hr-HR"/>
        </w:rPr>
        <w:t>prema zadanim limitima koje će također trebati korigirati pri rebalansu.</w:t>
      </w:r>
    </w:p>
    <w:p w14:paraId="11528CAE" w14:textId="77777777" w:rsidR="00EC4E53" w:rsidRPr="00D72F52" w:rsidRDefault="00EC4E53" w:rsidP="000E59EA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30BB760F" w14:textId="24A92759" w:rsidR="000E59EA" w:rsidRPr="00D72F52" w:rsidRDefault="000E59EA" w:rsidP="000E59EA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  <w:r w:rsidRPr="00D72F52">
        <w:rPr>
          <w:color w:val="000000"/>
          <w:sz w:val="24"/>
          <w:szCs w:val="24"/>
          <w:lang w:eastAsia="hr-HR"/>
        </w:rPr>
        <w:t>Stavka 3131- doprinosi za mirovinsko osiguranje iskazani su za dva zamjenika koji ostvaruju pravo na isplatu beneficiranog radnog staža u iz</w:t>
      </w:r>
      <w:r w:rsidRPr="00D72F52">
        <w:rPr>
          <w:sz w:val="24"/>
          <w:szCs w:val="24"/>
          <w:lang w:eastAsia="hr-HR"/>
        </w:rPr>
        <w:t>nosu od 41.400,00 EUR.</w:t>
      </w:r>
      <w:r w:rsidR="00E17E32" w:rsidRPr="00D72F52">
        <w:rPr>
          <w:sz w:val="24"/>
          <w:szCs w:val="24"/>
          <w:lang w:eastAsia="hr-HR"/>
        </w:rPr>
        <w:t xml:space="preserve"> </w:t>
      </w:r>
    </w:p>
    <w:p w14:paraId="13EAF459" w14:textId="77777777" w:rsidR="000E59EA" w:rsidRPr="00D72F52" w:rsidRDefault="000E59EA" w:rsidP="002E6669">
      <w:pPr>
        <w:pStyle w:val="Naslov2"/>
        <w:ind w:left="0"/>
        <w:rPr>
          <w:sz w:val="24"/>
          <w:szCs w:val="24"/>
        </w:rPr>
      </w:pPr>
    </w:p>
    <w:p w14:paraId="18723B9C" w14:textId="5271D3F4" w:rsidR="00341F1F" w:rsidRPr="00D72F52" w:rsidRDefault="00341F1F" w:rsidP="00794B9C">
      <w:pPr>
        <w:pStyle w:val="Naslov2"/>
        <w:ind w:left="0"/>
        <w:rPr>
          <w:sz w:val="24"/>
          <w:szCs w:val="24"/>
        </w:rPr>
      </w:pPr>
    </w:p>
    <w:p w14:paraId="34EF4B04" w14:textId="6DC1C897" w:rsidR="00477E19" w:rsidRPr="00D72F52" w:rsidRDefault="002E6669" w:rsidP="002E6669">
      <w:pPr>
        <w:pStyle w:val="Naslov2"/>
        <w:ind w:left="0"/>
        <w:rPr>
          <w:sz w:val="24"/>
          <w:szCs w:val="24"/>
        </w:rPr>
      </w:pPr>
      <w:r w:rsidRPr="00D72F52">
        <w:rPr>
          <w:sz w:val="24"/>
          <w:szCs w:val="24"/>
        </w:rPr>
        <w:t>Obrazloženja financijskog plana i postupak izračuna</w:t>
      </w:r>
      <w:r w:rsidR="00E17E32" w:rsidRPr="00D72F52">
        <w:rPr>
          <w:sz w:val="24"/>
          <w:szCs w:val="24"/>
        </w:rPr>
        <w:t xml:space="preserve"> za plaće i doprinose 2027</w:t>
      </w:r>
      <w:r w:rsidR="00477E19" w:rsidRPr="00D72F52">
        <w:rPr>
          <w:sz w:val="24"/>
          <w:szCs w:val="24"/>
        </w:rPr>
        <w:t>.</w:t>
      </w:r>
    </w:p>
    <w:p w14:paraId="59C2F5BF" w14:textId="77777777" w:rsidR="00E14349" w:rsidRPr="00D72F52" w:rsidRDefault="00E14349" w:rsidP="002E6669">
      <w:pPr>
        <w:pStyle w:val="Naslov2"/>
        <w:ind w:left="0"/>
        <w:rPr>
          <w:sz w:val="24"/>
          <w:szCs w:val="24"/>
        </w:rPr>
      </w:pPr>
    </w:p>
    <w:p w14:paraId="074BC8D7" w14:textId="071E66C5" w:rsidR="00E17E32" w:rsidRPr="00D72F52" w:rsidRDefault="00E14349" w:rsidP="008C16CB">
      <w:pPr>
        <w:widowControl/>
        <w:autoSpaceDE/>
        <w:autoSpaceDN/>
        <w:jc w:val="both"/>
        <w:rPr>
          <w:color w:val="000000"/>
          <w:sz w:val="24"/>
          <w:szCs w:val="24"/>
          <w:lang w:eastAsia="hr-HR"/>
        </w:rPr>
      </w:pPr>
      <w:r w:rsidRPr="00D72F52">
        <w:rPr>
          <w:color w:val="000000"/>
          <w:sz w:val="24"/>
          <w:szCs w:val="24"/>
          <w:lang w:eastAsia="hr-HR"/>
        </w:rPr>
        <w:t>Projekc</w:t>
      </w:r>
      <w:r w:rsidR="00E17E32" w:rsidRPr="00D72F52">
        <w:rPr>
          <w:color w:val="000000"/>
          <w:sz w:val="24"/>
          <w:szCs w:val="24"/>
          <w:lang w:eastAsia="hr-HR"/>
        </w:rPr>
        <w:t>ija plaća za 2027</w:t>
      </w:r>
      <w:r w:rsidR="00CE400D" w:rsidRPr="00D72F52">
        <w:rPr>
          <w:color w:val="000000"/>
          <w:sz w:val="24"/>
          <w:szCs w:val="24"/>
          <w:lang w:eastAsia="hr-HR"/>
        </w:rPr>
        <w:t>. iskazana je unutar zadanih limita.</w:t>
      </w:r>
      <w:r w:rsidRPr="00D72F52">
        <w:rPr>
          <w:color w:val="000000"/>
          <w:sz w:val="24"/>
          <w:szCs w:val="24"/>
          <w:lang w:eastAsia="hr-HR"/>
        </w:rPr>
        <w:t xml:space="preserve"> </w:t>
      </w:r>
      <w:r w:rsidR="00BE4945" w:rsidRPr="00D72F52">
        <w:rPr>
          <w:color w:val="000000"/>
          <w:sz w:val="24"/>
          <w:szCs w:val="24"/>
          <w:lang w:eastAsia="hr-HR"/>
        </w:rPr>
        <w:t>Isti iznos također je nedostatan uspoređujući plaću</w:t>
      </w:r>
      <w:r w:rsidR="00CE400D" w:rsidRPr="00D72F52">
        <w:rPr>
          <w:color w:val="000000"/>
          <w:sz w:val="24"/>
          <w:szCs w:val="24"/>
          <w:lang w:eastAsia="hr-HR"/>
        </w:rPr>
        <w:t xml:space="preserve"> baznu za izračun projekcije </w:t>
      </w:r>
      <w:r w:rsidR="00555949" w:rsidRPr="00D72F52">
        <w:rPr>
          <w:color w:val="000000"/>
          <w:sz w:val="24"/>
          <w:szCs w:val="24"/>
          <w:lang w:eastAsia="hr-HR"/>
        </w:rPr>
        <w:t>te će ga biti potrebno korigirati pri sljedećim utvrđivanjima limita.</w:t>
      </w:r>
      <w:r w:rsidRPr="00D72F52">
        <w:rPr>
          <w:color w:val="000000"/>
          <w:sz w:val="24"/>
          <w:szCs w:val="24"/>
          <w:lang w:eastAsia="hr-HR"/>
        </w:rPr>
        <w:t xml:space="preserve"> Tako je na stavci 311</w:t>
      </w:r>
      <w:r w:rsidR="008C16CB" w:rsidRPr="00D72F52">
        <w:rPr>
          <w:color w:val="000000"/>
          <w:sz w:val="24"/>
          <w:szCs w:val="24"/>
          <w:lang w:eastAsia="hr-HR"/>
        </w:rPr>
        <w:t xml:space="preserve"> </w:t>
      </w:r>
      <w:r w:rsidR="00950A79" w:rsidRPr="00D72F52">
        <w:rPr>
          <w:color w:val="000000"/>
          <w:sz w:val="24"/>
          <w:szCs w:val="24"/>
          <w:lang w:eastAsia="hr-HR"/>
        </w:rPr>
        <w:t>iskazan</w:t>
      </w:r>
      <w:r w:rsidRPr="00D72F52">
        <w:rPr>
          <w:color w:val="000000"/>
          <w:sz w:val="24"/>
          <w:szCs w:val="24"/>
          <w:lang w:eastAsia="hr-HR"/>
        </w:rPr>
        <w:t xml:space="preserve"> iznos od </w:t>
      </w:r>
      <w:r w:rsidR="00E17E32" w:rsidRPr="00D72F52">
        <w:rPr>
          <w:color w:val="000000"/>
          <w:sz w:val="24"/>
          <w:szCs w:val="24"/>
          <w:lang w:eastAsia="hr-HR"/>
        </w:rPr>
        <w:t>1.</w:t>
      </w:r>
      <w:r w:rsidR="00950A79" w:rsidRPr="00D72F52">
        <w:rPr>
          <w:color w:val="000000"/>
          <w:sz w:val="24"/>
          <w:szCs w:val="24"/>
          <w:lang w:eastAsia="hr-HR"/>
        </w:rPr>
        <w:t>995.303,00</w:t>
      </w:r>
      <w:r w:rsidR="00C32335" w:rsidRPr="00D72F52">
        <w:rPr>
          <w:color w:val="000000"/>
          <w:sz w:val="24"/>
          <w:szCs w:val="24"/>
          <w:lang w:eastAsia="hr-HR"/>
        </w:rPr>
        <w:t>EUR-a. D</w:t>
      </w:r>
      <w:r w:rsidRPr="00D72F52">
        <w:rPr>
          <w:color w:val="000000"/>
          <w:sz w:val="24"/>
          <w:szCs w:val="24"/>
          <w:lang w:eastAsia="hr-HR"/>
        </w:rPr>
        <w:t xml:space="preserve">oprinosi za zdravstveno na stavci 3132 su </w:t>
      </w:r>
      <w:r w:rsidR="00950A79" w:rsidRPr="00D72F52">
        <w:rPr>
          <w:color w:val="000000"/>
          <w:sz w:val="24"/>
          <w:szCs w:val="24"/>
          <w:lang w:eastAsia="hr-HR"/>
        </w:rPr>
        <w:t>iskazani</w:t>
      </w:r>
      <w:r w:rsidRPr="00D72F52">
        <w:rPr>
          <w:color w:val="000000"/>
          <w:sz w:val="24"/>
          <w:szCs w:val="24"/>
          <w:lang w:eastAsia="hr-HR"/>
        </w:rPr>
        <w:t xml:space="preserve"> u iznosu od </w:t>
      </w:r>
      <w:r w:rsidR="00950A79" w:rsidRPr="00D72F52">
        <w:rPr>
          <w:color w:val="000000"/>
          <w:sz w:val="24"/>
          <w:szCs w:val="24"/>
          <w:lang w:eastAsia="hr-HR"/>
        </w:rPr>
        <w:t>329.225,00</w:t>
      </w:r>
      <w:r w:rsidR="00516AFD" w:rsidRPr="00D72F52">
        <w:rPr>
          <w:color w:val="000000"/>
          <w:sz w:val="24"/>
          <w:szCs w:val="24"/>
          <w:lang w:eastAsia="hr-HR"/>
        </w:rPr>
        <w:t xml:space="preserve"> EUR-a</w:t>
      </w:r>
      <w:r w:rsidRPr="00D72F52">
        <w:rPr>
          <w:color w:val="000000"/>
          <w:sz w:val="24"/>
          <w:szCs w:val="24"/>
          <w:lang w:eastAsia="hr-HR"/>
        </w:rPr>
        <w:t>. Dopri</w:t>
      </w:r>
      <w:r w:rsidR="00E17E32" w:rsidRPr="00D72F52">
        <w:rPr>
          <w:color w:val="000000"/>
          <w:sz w:val="24"/>
          <w:szCs w:val="24"/>
          <w:lang w:eastAsia="hr-HR"/>
        </w:rPr>
        <w:t>nosa</w:t>
      </w:r>
      <w:r w:rsidRPr="00D72F52">
        <w:rPr>
          <w:color w:val="000000"/>
          <w:sz w:val="24"/>
          <w:szCs w:val="24"/>
          <w:lang w:eastAsia="hr-HR"/>
        </w:rPr>
        <w:t xml:space="preserve"> za mirovinsko osiguranje 3131 </w:t>
      </w:r>
      <w:r w:rsidR="00E17E32" w:rsidRPr="00D72F52">
        <w:rPr>
          <w:color w:val="000000"/>
          <w:sz w:val="24"/>
          <w:szCs w:val="24"/>
          <w:lang w:eastAsia="hr-HR"/>
        </w:rPr>
        <w:t xml:space="preserve">koje smo do sada imali zbog </w:t>
      </w:r>
      <w:r w:rsidRPr="00D72F52">
        <w:rPr>
          <w:color w:val="000000"/>
          <w:sz w:val="24"/>
          <w:szCs w:val="24"/>
          <w:lang w:eastAsia="hr-HR"/>
        </w:rPr>
        <w:t xml:space="preserve">dužnosnika </w:t>
      </w:r>
      <w:r w:rsidR="00E17E32" w:rsidRPr="00D72F52">
        <w:rPr>
          <w:color w:val="000000"/>
          <w:sz w:val="24"/>
          <w:szCs w:val="24"/>
          <w:lang w:eastAsia="hr-HR"/>
        </w:rPr>
        <w:t>kojima se treba isplatiti beneficirani radni staž više nemamo, budući da je svim zamjenicima koji su imali pravo na beneficirani radni staž isti i isplaćen.</w:t>
      </w:r>
    </w:p>
    <w:p w14:paraId="19D2CCF8" w14:textId="77777777" w:rsidR="00E17E32" w:rsidRPr="00D72F52" w:rsidRDefault="00E17E32" w:rsidP="008C16CB">
      <w:pPr>
        <w:widowControl/>
        <w:autoSpaceDE/>
        <w:autoSpaceDN/>
        <w:jc w:val="both"/>
        <w:rPr>
          <w:color w:val="000000"/>
          <w:sz w:val="24"/>
          <w:szCs w:val="24"/>
          <w:lang w:eastAsia="hr-HR"/>
        </w:rPr>
      </w:pPr>
    </w:p>
    <w:p w14:paraId="0914EA0C" w14:textId="77777777" w:rsidR="00E17E32" w:rsidRPr="00D72F52" w:rsidRDefault="00E17E32" w:rsidP="002E6669">
      <w:pPr>
        <w:pStyle w:val="Naslov2"/>
        <w:ind w:left="0"/>
        <w:rPr>
          <w:sz w:val="24"/>
          <w:szCs w:val="24"/>
        </w:rPr>
      </w:pPr>
    </w:p>
    <w:p w14:paraId="22725309" w14:textId="321BBC8E" w:rsidR="00477E19" w:rsidRPr="00D72F52" w:rsidRDefault="002E6669" w:rsidP="002E6669">
      <w:pPr>
        <w:pStyle w:val="Naslov2"/>
        <w:ind w:left="0"/>
        <w:rPr>
          <w:sz w:val="24"/>
          <w:szCs w:val="24"/>
        </w:rPr>
      </w:pPr>
      <w:r w:rsidRPr="00D72F52">
        <w:rPr>
          <w:sz w:val="24"/>
          <w:szCs w:val="24"/>
        </w:rPr>
        <w:t>Obrazloženja financijskog plana i postupak izračuna</w:t>
      </w:r>
      <w:r w:rsidR="00E17E32" w:rsidRPr="00D72F52">
        <w:rPr>
          <w:sz w:val="24"/>
          <w:szCs w:val="24"/>
        </w:rPr>
        <w:t xml:space="preserve"> za plaće i doprinose 2028</w:t>
      </w:r>
      <w:r w:rsidR="00477E19" w:rsidRPr="00D72F52">
        <w:rPr>
          <w:sz w:val="24"/>
          <w:szCs w:val="24"/>
        </w:rPr>
        <w:t>.</w:t>
      </w:r>
    </w:p>
    <w:p w14:paraId="16E8497A" w14:textId="77777777" w:rsidR="00477E19" w:rsidRPr="00D72F52" w:rsidRDefault="00477E19" w:rsidP="00477E19">
      <w:pPr>
        <w:pStyle w:val="Naslov2"/>
        <w:rPr>
          <w:sz w:val="24"/>
          <w:szCs w:val="24"/>
        </w:rPr>
      </w:pPr>
    </w:p>
    <w:p w14:paraId="6A7226D9" w14:textId="7ED37FD4" w:rsidR="00A91C7F" w:rsidRPr="00D72F52" w:rsidRDefault="00837AE3" w:rsidP="002E6669">
      <w:pPr>
        <w:widowControl/>
        <w:autoSpaceDE/>
        <w:autoSpaceDN/>
        <w:jc w:val="both"/>
        <w:rPr>
          <w:color w:val="000000"/>
          <w:sz w:val="24"/>
          <w:szCs w:val="24"/>
          <w:lang w:eastAsia="hr-HR"/>
        </w:rPr>
      </w:pPr>
      <w:r w:rsidRPr="00D72F52">
        <w:rPr>
          <w:color w:val="000000"/>
          <w:sz w:val="24"/>
          <w:szCs w:val="24"/>
          <w:lang w:eastAsia="hr-HR"/>
        </w:rPr>
        <w:t>Projekc</w:t>
      </w:r>
      <w:r w:rsidR="00E17E32" w:rsidRPr="00D72F52">
        <w:rPr>
          <w:color w:val="000000"/>
          <w:sz w:val="24"/>
          <w:szCs w:val="24"/>
          <w:lang w:eastAsia="hr-HR"/>
        </w:rPr>
        <w:t>ija plaća za 2028</w:t>
      </w:r>
      <w:r w:rsidR="00564BD4" w:rsidRPr="00D72F52">
        <w:rPr>
          <w:color w:val="000000"/>
          <w:sz w:val="24"/>
          <w:szCs w:val="24"/>
          <w:lang w:eastAsia="hr-HR"/>
        </w:rPr>
        <w:t xml:space="preserve">. </w:t>
      </w:r>
      <w:r w:rsidR="00E17E32" w:rsidRPr="00D72F52">
        <w:rPr>
          <w:color w:val="000000"/>
          <w:sz w:val="24"/>
          <w:szCs w:val="24"/>
          <w:lang w:eastAsia="hr-HR"/>
        </w:rPr>
        <w:t xml:space="preserve">također je iskazana unutar zadanih limita. </w:t>
      </w:r>
      <w:r w:rsidRPr="00D72F52">
        <w:rPr>
          <w:color w:val="000000"/>
          <w:sz w:val="24"/>
          <w:szCs w:val="24"/>
          <w:lang w:eastAsia="hr-HR"/>
        </w:rPr>
        <w:t>Tako je na stavci 311</w:t>
      </w:r>
      <w:r w:rsidR="008C16CB" w:rsidRPr="00D72F52">
        <w:rPr>
          <w:color w:val="000000"/>
          <w:sz w:val="24"/>
          <w:szCs w:val="24"/>
          <w:lang w:eastAsia="hr-HR"/>
        </w:rPr>
        <w:t xml:space="preserve"> </w:t>
      </w:r>
      <w:r w:rsidR="00950A79" w:rsidRPr="00D72F52">
        <w:rPr>
          <w:color w:val="000000"/>
          <w:sz w:val="24"/>
          <w:szCs w:val="24"/>
          <w:lang w:eastAsia="hr-HR"/>
        </w:rPr>
        <w:t>iskazan</w:t>
      </w:r>
      <w:r w:rsidRPr="00D72F52">
        <w:rPr>
          <w:color w:val="000000"/>
          <w:sz w:val="24"/>
          <w:szCs w:val="24"/>
          <w:lang w:eastAsia="hr-HR"/>
        </w:rPr>
        <w:t xml:space="preserve"> iznos od </w:t>
      </w:r>
      <w:r w:rsidR="00E17E32" w:rsidRPr="00D72F52">
        <w:rPr>
          <w:color w:val="000000"/>
          <w:sz w:val="24"/>
          <w:szCs w:val="24"/>
          <w:lang w:eastAsia="hr-HR"/>
        </w:rPr>
        <w:t>2.</w:t>
      </w:r>
      <w:r w:rsidR="00950A79" w:rsidRPr="00D72F52">
        <w:rPr>
          <w:color w:val="000000"/>
          <w:sz w:val="24"/>
          <w:szCs w:val="24"/>
          <w:lang w:eastAsia="hr-HR"/>
        </w:rPr>
        <w:t>000.290,99</w:t>
      </w:r>
      <w:r w:rsidR="000262C2" w:rsidRPr="00D72F52">
        <w:rPr>
          <w:color w:val="000000"/>
          <w:sz w:val="24"/>
          <w:szCs w:val="24"/>
          <w:lang w:eastAsia="hr-HR"/>
        </w:rPr>
        <w:t xml:space="preserve"> EUR-a</w:t>
      </w:r>
      <w:r w:rsidRPr="00D72F52">
        <w:rPr>
          <w:color w:val="000000"/>
          <w:sz w:val="24"/>
          <w:szCs w:val="24"/>
          <w:lang w:eastAsia="hr-HR"/>
        </w:rPr>
        <w:t xml:space="preserve"> doprinosi za zdravstveno na stavci 3132 su </w:t>
      </w:r>
      <w:r w:rsidR="00950A79" w:rsidRPr="00D72F52">
        <w:rPr>
          <w:color w:val="000000"/>
          <w:sz w:val="24"/>
          <w:szCs w:val="24"/>
          <w:lang w:eastAsia="hr-HR"/>
        </w:rPr>
        <w:t>iskazani</w:t>
      </w:r>
      <w:r w:rsidRPr="00D72F52">
        <w:rPr>
          <w:color w:val="000000"/>
          <w:sz w:val="24"/>
          <w:szCs w:val="24"/>
          <w:lang w:eastAsia="hr-HR"/>
        </w:rPr>
        <w:t xml:space="preserve"> u iznosu od </w:t>
      </w:r>
      <w:r w:rsidR="00950A79" w:rsidRPr="00D72F52">
        <w:rPr>
          <w:color w:val="000000"/>
          <w:sz w:val="24"/>
          <w:szCs w:val="24"/>
          <w:lang w:eastAsia="hr-HR"/>
        </w:rPr>
        <w:t>330.048,01</w:t>
      </w:r>
      <w:r w:rsidR="00564BD4" w:rsidRPr="00D72F52">
        <w:rPr>
          <w:color w:val="000000"/>
          <w:sz w:val="24"/>
          <w:szCs w:val="24"/>
          <w:lang w:eastAsia="hr-HR"/>
        </w:rPr>
        <w:t xml:space="preserve"> EUR</w:t>
      </w:r>
      <w:r w:rsidR="000262C2" w:rsidRPr="00D72F52">
        <w:rPr>
          <w:color w:val="000000"/>
          <w:sz w:val="24"/>
          <w:szCs w:val="24"/>
          <w:lang w:eastAsia="hr-HR"/>
        </w:rPr>
        <w:t>-a</w:t>
      </w:r>
      <w:r w:rsidRPr="00D72F52">
        <w:rPr>
          <w:color w:val="000000"/>
          <w:sz w:val="24"/>
          <w:szCs w:val="24"/>
          <w:lang w:eastAsia="hr-HR"/>
        </w:rPr>
        <w:t>.</w:t>
      </w:r>
      <w:r w:rsidR="00564BD4" w:rsidRPr="00D72F52">
        <w:rPr>
          <w:color w:val="000000"/>
          <w:sz w:val="24"/>
          <w:szCs w:val="24"/>
          <w:lang w:eastAsia="hr-HR"/>
        </w:rPr>
        <w:t xml:space="preserve"> Isti iznos također je nedostatan uspoređujući</w:t>
      </w:r>
      <w:r w:rsidR="00175BBD" w:rsidRPr="00D72F52">
        <w:rPr>
          <w:color w:val="000000"/>
          <w:sz w:val="24"/>
          <w:szCs w:val="24"/>
          <w:lang w:eastAsia="hr-HR"/>
        </w:rPr>
        <w:t xml:space="preserve"> baznu</w:t>
      </w:r>
      <w:r w:rsidR="00564BD4" w:rsidRPr="00D72F52">
        <w:rPr>
          <w:color w:val="000000"/>
          <w:sz w:val="24"/>
          <w:szCs w:val="24"/>
          <w:lang w:eastAsia="hr-HR"/>
        </w:rPr>
        <w:t xml:space="preserve"> plaću za </w:t>
      </w:r>
      <w:r w:rsidR="00175BBD" w:rsidRPr="00D72F52">
        <w:rPr>
          <w:color w:val="000000"/>
          <w:sz w:val="24"/>
          <w:szCs w:val="24"/>
          <w:lang w:eastAsia="hr-HR"/>
        </w:rPr>
        <w:t>planiranje sredstva</w:t>
      </w:r>
      <w:r w:rsidR="00564BD4" w:rsidRPr="00D72F52">
        <w:rPr>
          <w:color w:val="000000"/>
          <w:sz w:val="24"/>
          <w:szCs w:val="24"/>
          <w:lang w:eastAsia="hr-HR"/>
        </w:rPr>
        <w:t xml:space="preserve"> te će ga biti potrebno korigirati pri sljedećim utvrđivanjima limita</w:t>
      </w:r>
      <w:r w:rsidR="00175BBD" w:rsidRPr="00D72F52">
        <w:rPr>
          <w:color w:val="000000"/>
          <w:sz w:val="24"/>
          <w:szCs w:val="24"/>
          <w:lang w:eastAsia="hr-HR"/>
        </w:rPr>
        <w:t xml:space="preserve">. </w:t>
      </w:r>
    </w:p>
    <w:p w14:paraId="1113CC21" w14:textId="77777777" w:rsidR="002E6669" w:rsidRPr="00D72F52" w:rsidRDefault="002E6669" w:rsidP="002E6669">
      <w:pPr>
        <w:widowControl/>
        <w:autoSpaceDE/>
        <w:autoSpaceDN/>
        <w:jc w:val="both"/>
        <w:rPr>
          <w:color w:val="000000"/>
          <w:sz w:val="24"/>
          <w:szCs w:val="24"/>
          <w:lang w:eastAsia="hr-HR"/>
        </w:rPr>
      </w:pPr>
    </w:p>
    <w:p w14:paraId="3F8ABC98" w14:textId="77777777" w:rsidR="002E6669" w:rsidRPr="00D72F52" w:rsidRDefault="002E6669" w:rsidP="007D28C3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1C2D4DF1" w14:textId="28295F0A" w:rsidR="002E6669" w:rsidRPr="00D72F52" w:rsidRDefault="003455A3" w:rsidP="003455A3">
      <w:pPr>
        <w:pStyle w:val="Naslov2"/>
        <w:ind w:left="0"/>
        <w:rPr>
          <w:sz w:val="24"/>
          <w:szCs w:val="24"/>
        </w:rPr>
      </w:pPr>
      <w:r w:rsidRPr="00D72F52">
        <w:rPr>
          <w:sz w:val="24"/>
          <w:szCs w:val="24"/>
        </w:rPr>
        <w:t>Obrazloženja financijskog plana i postupak izračuna za ostale rashode za zap</w:t>
      </w:r>
      <w:r w:rsidR="0009791B" w:rsidRPr="00D72F52">
        <w:rPr>
          <w:sz w:val="24"/>
          <w:szCs w:val="24"/>
        </w:rPr>
        <w:t xml:space="preserve">oslene </w:t>
      </w:r>
      <w:r w:rsidR="00E17E32" w:rsidRPr="00D72F52">
        <w:rPr>
          <w:sz w:val="24"/>
          <w:szCs w:val="24"/>
        </w:rPr>
        <w:t>2026.-2028</w:t>
      </w:r>
      <w:r w:rsidRPr="00D72F52">
        <w:rPr>
          <w:sz w:val="24"/>
          <w:szCs w:val="24"/>
        </w:rPr>
        <w:t>.</w:t>
      </w:r>
    </w:p>
    <w:p w14:paraId="5A4B8DFE" w14:textId="77777777" w:rsidR="00171B33" w:rsidRPr="00D72F52" w:rsidRDefault="00171B33" w:rsidP="00171B33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5F83ADB8" w14:textId="61186E02" w:rsidR="00F92921" w:rsidRPr="00F92921" w:rsidRDefault="00C31525" w:rsidP="00C31525">
      <w:pPr>
        <w:widowControl/>
        <w:autoSpaceDE/>
        <w:autoSpaceDN/>
        <w:jc w:val="both"/>
        <w:rPr>
          <w:sz w:val="24"/>
          <w:szCs w:val="24"/>
          <w:lang w:eastAsia="hr-HR"/>
        </w:rPr>
      </w:pPr>
      <w:r w:rsidRPr="00D72F52">
        <w:rPr>
          <w:lang w:eastAsia="hr-HR"/>
        </w:rPr>
        <w:fldChar w:fldCharType="begin"/>
      </w:r>
      <w:r w:rsidRPr="00D72F52">
        <w:rPr>
          <w:lang w:eastAsia="hr-HR"/>
        </w:rPr>
        <w:instrText xml:space="preserve"> LINK </w:instrText>
      </w:r>
      <w:r w:rsidR="00F92921">
        <w:rPr>
          <w:lang w:eastAsia="hr-HR"/>
        </w:rPr>
        <w:instrText xml:space="preserve">Excel.Sheet.12 "C:\\Users\\tbrisevac\\Desktop\\ŽDO U OSIJEKU-PRIJEDLOG PLANA 2025-2027\\OBRAZLOŽENJE 2025. - 2027. (1).XLSX" 2025.!R5C2 </w:instrText>
      </w:r>
      <w:r w:rsidRPr="00D72F52">
        <w:rPr>
          <w:lang w:eastAsia="hr-HR"/>
        </w:rPr>
        <w:instrText xml:space="preserve">\a \f 4 \h  \* MERGEFORMAT </w:instrText>
      </w:r>
      <w:r w:rsidR="00F92921" w:rsidRPr="00D72F52">
        <w:rPr>
          <w:lang w:eastAsia="hr-HR"/>
        </w:rPr>
        <w:fldChar w:fldCharType="separate"/>
      </w:r>
    </w:p>
    <w:p w14:paraId="483F7BAF" w14:textId="77777777" w:rsidR="00F92921" w:rsidRPr="00F92921" w:rsidRDefault="00F92921" w:rsidP="00F92921">
      <w:pPr>
        <w:widowControl/>
        <w:autoSpaceDE/>
        <w:autoSpaceDN/>
        <w:jc w:val="both"/>
        <w:rPr>
          <w:sz w:val="24"/>
          <w:szCs w:val="24"/>
          <w:lang w:eastAsia="hr-HR"/>
        </w:rPr>
      </w:pPr>
      <w:r w:rsidRPr="00F92921">
        <w:rPr>
          <w:sz w:val="24"/>
          <w:szCs w:val="24"/>
          <w:lang w:eastAsia="hr-HR"/>
        </w:rPr>
        <w:t xml:space="preserve">Zakonom  o plaći i drugim materijalnim pravima pravosudnih dužnosnika (N.N. 35/24), dužnosnici od 01. travnja 2024. također kao i službenici iz prava Kolektivnog ugovora za državne službenike i namještenike,  ostvaruju pravo na regres, božićnicu, </w:t>
      </w:r>
      <w:proofErr w:type="spellStart"/>
      <w:r w:rsidRPr="00F92921">
        <w:rPr>
          <w:sz w:val="24"/>
          <w:szCs w:val="24"/>
          <w:lang w:eastAsia="hr-HR"/>
        </w:rPr>
        <w:t>uskrsnicu</w:t>
      </w:r>
      <w:proofErr w:type="spellEnd"/>
      <w:r w:rsidRPr="00F92921">
        <w:rPr>
          <w:sz w:val="24"/>
          <w:szCs w:val="24"/>
          <w:lang w:eastAsia="hr-HR"/>
        </w:rPr>
        <w:t xml:space="preserve">  i dar za djecu. Projekcija je rađena na 52 zaposlenika te iznos za božićnicu i regres iznosi 31.200,00 eura. </w:t>
      </w:r>
      <w:proofErr w:type="spellStart"/>
      <w:r w:rsidRPr="00F92921">
        <w:rPr>
          <w:sz w:val="24"/>
          <w:szCs w:val="24"/>
          <w:lang w:eastAsia="hr-HR"/>
        </w:rPr>
        <w:t>Uskrsnica</w:t>
      </w:r>
      <w:proofErr w:type="spellEnd"/>
      <w:r w:rsidRPr="00F92921">
        <w:rPr>
          <w:sz w:val="24"/>
          <w:szCs w:val="24"/>
          <w:lang w:eastAsia="hr-HR"/>
        </w:rPr>
        <w:t xml:space="preserve"> je projicirana u iznosu od 5.200,00 eura. Jubilarne nagrade u 2025. godini ostvaruje četvero službenika i to dvoje za pet, dvoje za deset godina. Projicirani iznos je 2.334,26 eura. Projekcija pomoći iznosi 1.765,74 eura, te dara za djecu 1.150,00 eura.</w:t>
      </w:r>
    </w:p>
    <w:p w14:paraId="03212652" w14:textId="4C81E74B" w:rsidR="0040652B" w:rsidRPr="00D72F52" w:rsidRDefault="00C31525" w:rsidP="00C31525">
      <w:pPr>
        <w:widowControl/>
        <w:autoSpaceDE/>
        <w:autoSpaceDN/>
        <w:jc w:val="both"/>
        <w:rPr>
          <w:color w:val="000000"/>
          <w:sz w:val="24"/>
          <w:szCs w:val="24"/>
          <w:lang w:eastAsia="hr-HR"/>
        </w:rPr>
      </w:pPr>
      <w:r w:rsidRPr="00D72F52">
        <w:rPr>
          <w:color w:val="000000"/>
          <w:sz w:val="24"/>
          <w:szCs w:val="24"/>
          <w:lang w:eastAsia="hr-HR"/>
        </w:rPr>
        <w:fldChar w:fldCharType="end"/>
      </w:r>
    </w:p>
    <w:p w14:paraId="29C7C892" w14:textId="5BD86F87" w:rsidR="0040652B" w:rsidRPr="00D72F52" w:rsidRDefault="0040652B" w:rsidP="00C82CFF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193B8209" w14:textId="7E57C28A" w:rsidR="00DC12B0" w:rsidRPr="00D72F52" w:rsidRDefault="00DC12B0" w:rsidP="00C82CFF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07CF1CA6" w14:textId="7C463FB8" w:rsidR="00DC12B0" w:rsidRPr="00D72F52" w:rsidRDefault="00DC12B0" w:rsidP="00C82CFF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2E076C75" w14:textId="3448ECF0" w:rsidR="00DC12B0" w:rsidRPr="00D72F52" w:rsidRDefault="00DC12B0" w:rsidP="00C82CFF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6CB69484" w14:textId="303F9572" w:rsidR="00DC12B0" w:rsidRPr="00D72F52" w:rsidRDefault="00DC12B0" w:rsidP="00C82CFF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1255016C" w14:textId="4F5F3CBB" w:rsidR="00DC12B0" w:rsidRDefault="00DC12B0" w:rsidP="00C82CFF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13A9BDC2" w14:textId="5DCCCD13" w:rsidR="00D72F52" w:rsidRDefault="00D72F52" w:rsidP="00C82CFF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14E42B68" w14:textId="78D18FA7" w:rsidR="00D72F52" w:rsidRDefault="00D72F52" w:rsidP="00C82CFF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1A80EEEF" w14:textId="45CE7D26" w:rsidR="00D72F52" w:rsidRDefault="00D72F52" w:rsidP="00C82CFF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1DA405E1" w14:textId="6F3F9322" w:rsidR="00D72F52" w:rsidRDefault="00D72F52" w:rsidP="00C82CFF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74FC6C38" w14:textId="66EF9BFD" w:rsidR="00D72F52" w:rsidRDefault="00D72F52" w:rsidP="00C82CFF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1140227D" w14:textId="77777777" w:rsidR="00D72F52" w:rsidRPr="00D72F52" w:rsidRDefault="00D72F52" w:rsidP="00C82CFF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3201A2B6" w14:textId="77777777" w:rsidR="00DC12B0" w:rsidRPr="00D72F52" w:rsidRDefault="00DC12B0" w:rsidP="00C82CFF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6312FA60" w14:textId="66C79850" w:rsidR="002543DA" w:rsidRPr="00D72F52" w:rsidRDefault="002543DA" w:rsidP="002543DA">
      <w:pPr>
        <w:pStyle w:val="Naslov2"/>
        <w:ind w:left="0"/>
        <w:rPr>
          <w:sz w:val="24"/>
          <w:szCs w:val="24"/>
        </w:rPr>
      </w:pPr>
      <w:r w:rsidRPr="00D72F52">
        <w:rPr>
          <w:sz w:val="24"/>
          <w:szCs w:val="24"/>
        </w:rPr>
        <w:lastRenderedPageBreak/>
        <w:t>Obrazloženja financ</w:t>
      </w:r>
      <w:r w:rsidR="00D20C84" w:rsidRPr="00D72F52">
        <w:rPr>
          <w:sz w:val="24"/>
          <w:szCs w:val="24"/>
        </w:rPr>
        <w:t>ijskog plana</w:t>
      </w:r>
      <w:r w:rsidR="005C5A32" w:rsidRPr="00D72F52">
        <w:rPr>
          <w:sz w:val="24"/>
          <w:szCs w:val="24"/>
        </w:rPr>
        <w:t xml:space="preserve"> za rashode za usluge 2025.-2027</w:t>
      </w:r>
      <w:r w:rsidRPr="00D72F52">
        <w:rPr>
          <w:sz w:val="24"/>
          <w:szCs w:val="24"/>
        </w:rPr>
        <w:t>.</w:t>
      </w:r>
      <w:r w:rsidR="00C77C7C" w:rsidRPr="00D72F52">
        <w:rPr>
          <w:sz w:val="24"/>
          <w:szCs w:val="24"/>
        </w:rPr>
        <w:t xml:space="preserve"> </w:t>
      </w:r>
    </w:p>
    <w:p w14:paraId="122B2D07" w14:textId="77777777" w:rsidR="00DC12B0" w:rsidRPr="00D72F52" w:rsidRDefault="00DC12B0" w:rsidP="002543DA">
      <w:pPr>
        <w:pStyle w:val="Naslov2"/>
        <w:ind w:left="0"/>
        <w:rPr>
          <w:sz w:val="24"/>
          <w:szCs w:val="24"/>
        </w:rPr>
      </w:pPr>
    </w:p>
    <w:p w14:paraId="2612BADD" w14:textId="1622BD09" w:rsidR="00C77C7C" w:rsidRPr="00D72F52" w:rsidRDefault="00C77C7C" w:rsidP="002543DA">
      <w:pPr>
        <w:pStyle w:val="Naslov2"/>
        <w:ind w:left="0"/>
        <w:rPr>
          <w:sz w:val="24"/>
          <w:szCs w:val="24"/>
        </w:rPr>
      </w:pPr>
      <w:r w:rsidRPr="00D72F52">
        <w:rPr>
          <w:sz w:val="24"/>
          <w:szCs w:val="24"/>
        </w:rPr>
        <w:t>3237</w:t>
      </w:r>
      <w:r w:rsidR="008C16CB" w:rsidRPr="00D72F52">
        <w:rPr>
          <w:sz w:val="24"/>
          <w:szCs w:val="24"/>
        </w:rPr>
        <w:t xml:space="preserve"> </w:t>
      </w:r>
      <w:r w:rsidRPr="00D72F52">
        <w:rPr>
          <w:sz w:val="24"/>
          <w:szCs w:val="24"/>
        </w:rPr>
        <w:t>-</w:t>
      </w:r>
      <w:r w:rsidR="008C16CB" w:rsidRPr="00D72F52">
        <w:rPr>
          <w:sz w:val="24"/>
          <w:szCs w:val="24"/>
        </w:rPr>
        <w:t xml:space="preserve"> </w:t>
      </w:r>
      <w:r w:rsidRPr="00D72F52">
        <w:rPr>
          <w:sz w:val="24"/>
          <w:szCs w:val="24"/>
        </w:rPr>
        <w:t>Intelektualne usluge</w:t>
      </w:r>
    </w:p>
    <w:p w14:paraId="4DBABF1C" w14:textId="77777777" w:rsidR="00DC12B0" w:rsidRPr="00D72F52" w:rsidRDefault="00DC12B0" w:rsidP="002543DA">
      <w:pPr>
        <w:pStyle w:val="Naslov2"/>
        <w:ind w:left="0"/>
        <w:rPr>
          <w:sz w:val="24"/>
          <w:szCs w:val="24"/>
        </w:rPr>
      </w:pPr>
    </w:p>
    <w:p w14:paraId="7A0EF112" w14:textId="7B416BBE" w:rsidR="00DC12B0" w:rsidRPr="00D72F52" w:rsidRDefault="00865548" w:rsidP="00491657">
      <w:pPr>
        <w:jc w:val="both"/>
        <w:rPr>
          <w:sz w:val="24"/>
          <w:szCs w:val="24"/>
        </w:rPr>
      </w:pPr>
      <w:r w:rsidRPr="00D72F52">
        <w:rPr>
          <w:sz w:val="24"/>
          <w:szCs w:val="24"/>
        </w:rPr>
        <w:t xml:space="preserve">Troškovi intelektualnih usluga su najveća stavka </w:t>
      </w:r>
      <w:r w:rsidR="00491657" w:rsidRPr="00D72F52">
        <w:rPr>
          <w:sz w:val="24"/>
          <w:szCs w:val="24"/>
        </w:rPr>
        <w:t xml:space="preserve">skupine rashoda za usluge </w:t>
      </w:r>
      <w:r w:rsidR="0048111C" w:rsidRPr="00D72F52">
        <w:rPr>
          <w:sz w:val="24"/>
          <w:szCs w:val="24"/>
        </w:rPr>
        <w:t>u aktivnosti A640</w:t>
      </w:r>
      <w:r w:rsidR="00DC12B0" w:rsidRPr="00D72F52">
        <w:rPr>
          <w:sz w:val="24"/>
          <w:szCs w:val="24"/>
        </w:rPr>
        <w:t xml:space="preserve">000, a </w:t>
      </w:r>
      <w:r w:rsidRPr="00D72F52">
        <w:rPr>
          <w:sz w:val="24"/>
          <w:szCs w:val="24"/>
        </w:rPr>
        <w:t>odnose se na vještačenja (medic</w:t>
      </w:r>
      <w:r w:rsidR="00F857D4" w:rsidRPr="00D72F52">
        <w:rPr>
          <w:sz w:val="24"/>
          <w:szCs w:val="24"/>
        </w:rPr>
        <w:t xml:space="preserve">inska, građevinska, prometna, </w:t>
      </w:r>
      <w:r w:rsidRPr="00D72F52">
        <w:rPr>
          <w:sz w:val="24"/>
          <w:szCs w:val="24"/>
        </w:rPr>
        <w:t>računovodstveno-financijska vještačenja</w:t>
      </w:r>
      <w:r w:rsidR="00F857D4" w:rsidRPr="00D72F52">
        <w:rPr>
          <w:sz w:val="24"/>
          <w:szCs w:val="24"/>
        </w:rPr>
        <w:t xml:space="preserve"> i dr.</w:t>
      </w:r>
      <w:r w:rsidRPr="00D72F52">
        <w:rPr>
          <w:sz w:val="24"/>
          <w:szCs w:val="24"/>
        </w:rPr>
        <w:t>)</w:t>
      </w:r>
      <w:r w:rsidR="008C16CB" w:rsidRPr="00D72F52">
        <w:rPr>
          <w:sz w:val="24"/>
          <w:szCs w:val="24"/>
        </w:rPr>
        <w:t>,</w:t>
      </w:r>
      <w:r w:rsidRPr="00D72F52">
        <w:rPr>
          <w:sz w:val="24"/>
          <w:szCs w:val="24"/>
        </w:rPr>
        <w:t xml:space="preserve"> usluge odvjetnika po službenoj dužnosti, usluge tumača, usluge bolničkih troškova (obdukcije i dr.)</w:t>
      </w:r>
      <w:r w:rsidR="008C16CB" w:rsidRPr="00D72F52">
        <w:rPr>
          <w:sz w:val="24"/>
          <w:szCs w:val="24"/>
        </w:rPr>
        <w:t>. I</w:t>
      </w:r>
      <w:r w:rsidRPr="00D72F52">
        <w:rPr>
          <w:sz w:val="24"/>
          <w:szCs w:val="24"/>
        </w:rPr>
        <w:t xml:space="preserve">sta se ne mogu točno planirati jer ovise o nužnosti i specifičnosti </w:t>
      </w:r>
      <w:r w:rsidR="00F857D4" w:rsidRPr="00D72F52">
        <w:rPr>
          <w:sz w:val="24"/>
          <w:szCs w:val="24"/>
        </w:rPr>
        <w:t xml:space="preserve">zaprimljenih </w:t>
      </w:r>
      <w:r w:rsidRPr="00D72F52">
        <w:rPr>
          <w:sz w:val="24"/>
          <w:szCs w:val="24"/>
        </w:rPr>
        <w:t>predmeta</w:t>
      </w:r>
      <w:r w:rsidR="00F857D4" w:rsidRPr="00D72F52">
        <w:rPr>
          <w:sz w:val="24"/>
          <w:szCs w:val="24"/>
        </w:rPr>
        <w:t>.</w:t>
      </w:r>
      <w:r w:rsidR="00DC12B0" w:rsidRPr="00D72F52">
        <w:rPr>
          <w:sz w:val="24"/>
          <w:szCs w:val="24"/>
        </w:rPr>
        <w:t xml:space="preserve"> Intelektualne usluge su za 2026</w:t>
      </w:r>
      <w:r w:rsidRPr="00D72F52">
        <w:rPr>
          <w:sz w:val="24"/>
          <w:szCs w:val="24"/>
        </w:rPr>
        <w:t xml:space="preserve">. planirane u iznosu od </w:t>
      </w:r>
      <w:r w:rsidR="00DC12B0" w:rsidRPr="00D72F52">
        <w:rPr>
          <w:sz w:val="24"/>
          <w:szCs w:val="24"/>
        </w:rPr>
        <w:t>85.600,00 EUR-a, za 2027. godinu u iznosu od 90.600,00 EUR-a, a za 2028. godinu u iznosu od 72.600,00 EUR-a. U slučaju da navedeni iznosu ne budu dostatni za ove usluge, iste ćemo korigirati preko rebalansa.</w:t>
      </w:r>
    </w:p>
    <w:p w14:paraId="389E42B5" w14:textId="77777777" w:rsidR="00DC12B0" w:rsidRPr="00D72F52" w:rsidRDefault="00DC12B0" w:rsidP="00491657">
      <w:pPr>
        <w:jc w:val="both"/>
        <w:rPr>
          <w:sz w:val="24"/>
          <w:szCs w:val="24"/>
        </w:rPr>
      </w:pPr>
    </w:p>
    <w:p w14:paraId="1223DED4" w14:textId="77777777" w:rsidR="00DC12B0" w:rsidRPr="00D72F52" w:rsidRDefault="00DC12B0" w:rsidP="00491657">
      <w:pPr>
        <w:jc w:val="both"/>
        <w:rPr>
          <w:sz w:val="24"/>
          <w:szCs w:val="24"/>
        </w:rPr>
      </w:pPr>
    </w:p>
    <w:p w14:paraId="1A294B5A" w14:textId="7ECEE688" w:rsidR="00491657" w:rsidRPr="00D72F52" w:rsidRDefault="00DC12B0" w:rsidP="00491657">
      <w:pPr>
        <w:jc w:val="both"/>
        <w:rPr>
          <w:b/>
          <w:sz w:val="24"/>
          <w:szCs w:val="24"/>
        </w:rPr>
      </w:pPr>
      <w:r w:rsidRPr="00D72F52">
        <w:rPr>
          <w:b/>
          <w:sz w:val="24"/>
          <w:szCs w:val="24"/>
        </w:rPr>
        <w:t>3238 - Ostale usluge</w:t>
      </w:r>
    </w:p>
    <w:p w14:paraId="626EF467" w14:textId="77777777" w:rsidR="00DC12B0" w:rsidRPr="00D72F52" w:rsidRDefault="00DC12B0" w:rsidP="00491657">
      <w:pPr>
        <w:jc w:val="both"/>
        <w:rPr>
          <w:b/>
          <w:sz w:val="24"/>
          <w:szCs w:val="24"/>
        </w:rPr>
      </w:pPr>
    </w:p>
    <w:p w14:paraId="07931E8F" w14:textId="08CA0F6E" w:rsidR="00DC12B0" w:rsidRPr="00D72F52" w:rsidRDefault="00DC12B0" w:rsidP="00491657">
      <w:pPr>
        <w:jc w:val="both"/>
        <w:rPr>
          <w:sz w:val="24"/>
          <w:szCs w:val="24"/>
        </w:rPr>
      </w:pPr>
      <w:r w:rsidRPr="00D72F52">
        <w:rPr>
          <w:sz w:val="24"/>
          <w:szCs w:val="24"/>
        </w:rPr>
        <w:t>Druga najveća stavka su Ostale usluge koje koristi ovo državno odvjetništvo. Riječ je u uslugama koje plaćamo za čuvanje osoba i imovine. Navedene usluge svake godine se povećavaju sukladno povećanju minimalne plaće u Republici Hrvatskoj te iste uvijek korigiramo putem rebalansa ovisno o iznosu povećanja.</w:t>
      </w:r>
    </w:p>
    <w:p w14:paraId="4ABEA1D6" w14:textId="6182F7CA" w:rsidR="00DC12B0" w:rsidRPr="00D72F52" w:rsidRDefault="00DC12B0" w:rsidP="00491657">
      <w:pPr>
        <w:jc w:val="both"/>
        <w:rPr>
          <w:sz w:val="24"/>
          <w:szCs w:val="24"/>
        </w:rPr>
      </w:pPr>
    </w:p>
    <w:p w14:paraId="7868D99F" w14:textId="6521EA09" w:rsidR="00DC12B0" w:rsidRPr="00D72F52" w:rsidRDefault="00DC12B0" w:rsidP="00491657">
      <w:pPr>
        <w:jc w:val="both"/>
        <w:rPr>
          <w:sz w:val="24"/>
          <w:szCs w:val="24"/>
        </w:rPr>
      </w:pPr>
    </w:p>
    <w:p w14:paraId="611C46CA" w14:textId="66987739" w:rsidR="00DC12B0" w:rsidRPr="00D72F52" w:rsidRDefault="00DC12B0" w:rsidP="00491657">
      <w:pPr>
        <w:jc w:val="both"/>
        <w:rPr>
          <w:b/>
          <w:sz w:val="24"/>
          <w:szCs w:val="24"/>
        </w:rPr>
      </w:pPr>
      <w:r w:rsidRPr="00D72F52">
        <w:rPr>
          <w:b/>
          <w:sz w:val="24"/>
          <w:szCs w:val="24"/>
        </w:rPr>
        <w:t>3235 – Zakupnine i najamnine</w:t>
      </w:r>
    </w:p>
    <w:p w14:paraId="0222C3D1" w14:textId="77777777" w:rsidR="00DC12B0" w:rsidRPr="00D72F52" w:rsidRDefault="00DC12B0" w:rsidP="00491657">
      <w:pPr>
        <w:jc w:val="both"/>
        <w:rPr>
          <w:b/>
          <w:sz w:val="24"/>
          <w:szCs w:val="24"/>
        </w:rPr>
      </w:pPr>
    </w:p>
    <w:p w14:paraId="3AB0DFD8" w14:textId="7D527676" w:rsidR="00DC12B0" w:rsidRPr="00D72F52" w:rsidRDefault="00DC12B0" w:rsidP="00491657">
      <w:pPr>
        <w:jc w:val="both"/>
        <w:rPr>
          <w:sz w:val="24"/>
          <w:szCs w:val="24"/>
        </w:rPr>
      </w:pPr>
      <w:r w:rsidRPr="00D72F52">
        <w:rPr>
          <w:sz w:val="24"/>
          <w:szCs w:val="24"/>
        </w:rPr>
        <w:t xml:space="preserve">Ova stavka se odnosi na najam koji plaćamo mjesečno za opremu, te smo uključili i najam za parking. Naime, do sada je ovo državno odvjetništvo koristilo besplatni parking ispred zgrade koji je bio u vlasništvu koncesionara. Grad Osijek je preuzeo parking te će se od kraja 2025. godine uvesti novi sustav za naplatu parking te više nećemo biti u mogućnosti koristiti besplatni parking. </w:t>
      </w:r>
    </w:p>
    <w:p w14:paraId="5F977B16" w14:textId="2443E413" w:rsidR="00DC12B0" w:rsidRPr="00D72F52" w:rsidRDefault="00DC12B0" w:rsidP="00491657">
      <w:pPr>
        <w:jc w:val="both"/>
        <w:rPr>
          <w:sz w:val="24"/>
          <w:szCs w:val="24"/>
        </w:rPr>
      </w:pPr>
    </w:p>
    <w:p w14:paraId="5B9169F8" w14:textId="77777777" w:rsidR="00DC12B0" w:rsidRPr="00D72F52" w:rsidRDefault="00DC12B0" w:rsidP="00491657">
      <w:pPr>
        <w:jc w:val="both"/>
        <w:rPr>
          <w:sz w:val="24"/>
          <w:szCs w:val="24"/>
        </w:rPr>
      </w:pPr>
    </w:p>
    <w:p w14:paraId="6FADBB6F" w14:textId="77777777" w:rsidR="00DC12B0" w:rsidRPr="00D72F52" w:rsidRDefault="00DC12B0" w:rsidP="00491657">
      <w:pPr>
        <w:jc w:val="both"/>
        <w:rPr>
          <w:sz w:val="24"/>
          <w:szCs w:val="24"/>
        </w:rPr>
      </w:pPr>
    </w:p>
    <w:p w14:paraId="65B4781D" w14:textId="48E3B047" w:rsidR="00865548" w:rsidRPr="00D72F52" w:rsidRDefault="00865548" w:rsidP="00491657">
      <w:pPr>
        <w:jc w:val="both"/>
        <w:rPr>
          <w:b/>
          <w:sz w:val="24"/>
          <w:szCs w:val="24"/>
        </w:rPr>
      </w:pPr>
      <w:r w:rsidRPr="00D72F52">
        <w:rPr>
          <w:b/>
          <w:sz w:val="24"/>
          <w:szCs w:val="24"/>
        </w:rPr>
        <w:t xml:space="preserve">Upravljanje rashodima </w:t>
      </w:r>
    </w:p>
    <w:p w14:paraId="6954E5A6" w14:textId="77777777" w:rsidR="00491657" w:rsidRPr="00D72F52" w:rsidRDefault="00491657" w:rsidP="00491657">
      <w:pPr>
        <w:jc w:val="both"/>
        <w:rPr>
          <w:sz w:val="24"/>
          <w:szCs w:val="24"/>
        </w:rPr>
      </w:pPr>
    </w:p>
    <w:p w14:paraId="29F78E88" w14:textId="07BDF495" w:rsidR="00DC12B0" w:rsidRPr="00D72F52" w:rsidRDefault="00D36F6B" w:rsidP="008C16CB">
      <w:pPr>
        <w:jc w:val="both"/>
        <w:rPr>
          <w:sz w:val="24"/>
          <w:szCs w:val="24"/>
        </w:rPr>
      </w:pPr>
      <w:r w:rsidRPr="00D72F52">
        <w:rPr>
          <w:sz w:val="24"/>
          <w:szCs w:val="24"/>
        </w:rPr>
        <w:t>Aktivnost A640</w:t>
      </w:r>
      <w:r w:rsidR="00865548" w:rsidRPr="00D72F52">
        <w:rPr>
          <w:sz w:val="24"/>
          <w:szCs w:val="24"/>
        </w:rPr>
        <w:t xml:space="preserve">000 također je namijenjena i alimentiranju rashoda za uredski materijal, energiju, gorivo, </w:t>
      </w:r>
      <w:r w:rsidR="00DD2D4F" w:rsidRPr="00D72F52">
        <w:rPr>
          <w:sz w:val="24"/>
          <w:szCs w:val="24"/>
        </w:rPr>
        <w:t xml:space="preserve">usluge telefona, pošte i prijevoza, </w:t>
      </w:r>
      <w:r w:rsidR="00865548" w:rsidRPr="00D72F52">
        <w:rPr>
          <w:sz w:val="24"/>
          <w:szCs w:val="24"/>
        </w:rPr>
        <w:t xml:space="preserve">tekuće i investicijsko održavanje, zakupnine i najamnine, premije osiguranja, članarine i ostale materijalne rashode za potrebe svih odjela </w:t>
      </w:r>
      <w:r w:rsidR="00671237" w:rsidRPr="00D72F52">
        <w:rPr>
          <w:sz w:val="24"/>
          <w:szCs w:val="24"/>
        </w:rPr>
        <w:t xml:space="preserve">Županijskog </w:t>
      </w:r>
      <w:r w:rsidR="00865548" w:rsidRPr="00D72F52">
        <w:rPr>
          <w:sz w:val="24"/>
          <w:szCs w:val="24"/>
        </w:rPr>
        <w:t xml:space="preserve">državnog odvjetništva u Osijeku, a sredstva se koriste racionalno i na najefikasniji način. </w:t>
      </w:r>
      <w:r w:rsidR="00DC12B0" w:rsidRPr="00D72F52">
        <w:rPr>
          <w:sz w:val="24"/>
          <w:szCs w:val="24"/>
        </w:rPr>
        <w:t>Njihovo planiranje za 2026., 2027. i 2028. godinu napravljeno je na temelju procjene dosadašnje potrošnje.</w:t>
      </w:r>
    </w:p>
    <w:p w14:paraId="5039D1D3" w14:textId="77777777" w:rsidR="00DC12B0" w:rsidRPr="00D72F52" w:rsidRDefault="00DC12B0" w:rsidP="008C16CB">
      <w:pPr>
        <w:jc w:val="both"/>
        <w:rPr>
          <w:sz w:val="24"/>
          <w:szCs w:val="24"/>
        </w:rPr>
      </w:pPr>
    </w:p>
    <w:p w14:paraId="2BD69D66" w14:textId="77777777" w:rsidR="00FD4E25" w:rsidRPr="00D72F52" w:rsidRDefault="00FD4E25" w:rsidP="008C16CB">
      <w:pPr>
        <w:jc w:val="both"/>
        <w:rPr>
          <w:sz w:val="24"/>
          <w:szCs w:val="24"/>
        </w:rPr>
      </w:pPr>
    </w:p>
    <w:p w14:paraId="7306D21A" w14:textId="51036706" w:rsidR="00DD2D4F" w:rsidRPr="00D72F52" w:rsidRDefault="00DD2D4F" w:rsidP="00491657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p w14:paraId="4C61A6FA" w14:textId="00898E43" w:rsidR="00DA58EF" w:rsidRPr="00D72F52" w:rsidRDefault="00DA58EF" w:rsidP="00697985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</w:p>
    <w:sectPr w:rsidR="00DA58EF" w:rsidRPr="00D72F52">
      <w:footerReference w:type="default" r:id="rId7"/>
      <w:pgSz w:w="11910" w:h="16840"/>
      <w:pgMar w:top="92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FF252" w14:textId="77777777" w:rsidR="00C65C3A" w:rsidRDefault="00C65C3A" w:rsidP="005320D4">
      <w:r>
        <w:separator/>
      </w:r>
    </w:p>
  </w:endnote>
  <w:endnote w:type="continuationSeparator" w:id="0">
    <w:p w14:paraId="631252FE" w14:textId="77777777" w:rsidR="00C65C3A" w:rsidRDefault="00C65C3A" w:rsidP="005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D18D7" w14:textId="3F4BB75A" w:rsidR="005320D4" w:rsidRPr="005320D4" w:rsidRDefault="00A27C93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Županijsko</w:t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t xml:space="preserve"> državno odvjetništvo u Osijeku-obrazloženje posebno</w:t>
    </w:r>
    <w:r w:rsidR="0081424A">
      <w:rPr>
        <w:rFonts w:asciiTheme="majorHAnsi" w:eastAsiaTheme="majorEastAsia" w:hAnsiTheme="majorHAnsi" w:cstheme="majorBidi"/>
        <w:sz w:val="16"/>
        <w:szCs w:val="16"/>
      </w:rPr>
      <w:t>g dijela financijskog plana 2026.-2028</w:t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t>.</w:t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t xml:space="preserve">Stranica </w:t>
    </w:r>
    <w:r w:rsidR="005320D4" w:rsidRPr="005320D4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="005320D4" w:rsidRPr="005320D4">
      <w:rPr>
        <w:sz w:val="16"/>
        <w:szCs w:val="16"/>
      </w:rPr>
      <w:instrText>PAGE   \* MERGEFORMAT</w:instrText>
    </w:r>
    <w:r w:rsidR="005320D4" w:rsidRPr="005320D4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F92921" w:rsidRPr="00F92921">
      <w:rPr>
        <w:rFonts w:asciiTheme="majorHAnsi" w:eastAsiaTheme="majorEastAsia" w:hAnsiTheme="majorHAnsi" w:cstheme="majorBidi"/>
        <w:noProof/>
        <w:sz w:val="16"/>
        <w:szCs w:val="16"/>
      </w:rPr>
      <w:t>2</w:t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14:paraId="7FEE0616" w14:textId="77777777" w:rsidR="005320D4" w:rsidRPr="005320D4" w:rsidRDefault="005320D4">
    <w:pPr>
      <w:pStyle w:val="Podnoj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8E64F" w14:textId="77777777" w:rsidR="00C65C3A" w:rsidRDefault="00C65C3A" w:rsidP="005320D4">
      <w:r>
        <w:separator/>
      </w:r>
    </w:p>
  </w:footnote>
  <w:footnote w:type="continuationSeparator" w:id="0">
    <w:p w14:paraId="0229DA6E" w14:textId="77777777" w:rsidR="00C65C3A" w:rsidRDefault="00C65C3A" w:rsidP="00532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E63BD"/>
    <w:multiLevelType w:val="hybridMultilevel"/>
    <w:tmpl w:val="36C6CF10"/>
    <w:lvl w:ilvl="0" w:tplc="21A87014">
      <w:numFmt w:val="bullet"/>
      <w:lvlText w:val="-"/>
      <w:lvlJc w:val="left"/>
      <w:pPr>
        <w:ind w:left="111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r-HR" w:eastAsia="en-US" w:bidi="ar-SA"/>
      </w:rPr>
    </w:lvl>
    <w:lvl w:ilvl="1" w:tplc="31249098">
      <w:numFmt w:val="bullet"/>
      <w:lvlText w:val="•"/>
      <w:lvlJc w:val="left"/>
      <w:pPr>
        <w:ind w:left="1152" w:hanging="129"/>
      </w:pPr>
      <w:rPr>
        <w:rFonts w:hint="default"/>
        <w:lang w:val="hr-HR" w:eastAsia="en-US" w:bidi="ar-SA"/>
      </w:rPr>
    </w:lvl>
    <w:lvl w:ilvl="2" w:tplc="88C8D628">
      <w:numFmt w:val="bullet"/>
      <w:lvlText w:val="•"/>
      <w:lvlJc w:val="left"/>
      <w:pPr>
        <w:ind w:left="2185" w:hanging="129"/>
      </w:pPr>
      <w:rPr>
        <w:rFonts w:hint="default"/>
        <w:lang w:val="hr-HR" w:eastAsia="en-US" w:bidi="ar-SA"/>
      </w:rPr>
    </w:lvl>
    <w:lvl w:ilvl="3" w:tplc="36A0F510">
      <w:numFmt w:val="bullet"/>
      <w:lvlText w:val="•"/>
      <w:lvlJc w:val="left"/>
      <w:pPr>
        <w:ind w:left="3217" w:hanging="129"/>
      </w:pPr>
      <w:rPr>
        <w:rFonts w:hint="default"/>
        <w:lang w:val="hr-HR" w:eastAsia="en-US" w:bidi="ar-SA"/>
      </w:rPr>
    </w:lvl>
    <w:lvl w:ilvl="4" w:tplc="087CEE3C">
      <w:numFmt w:val="bullet"/>
      <w:lvlText w:val="•"/>
      <w:lvlJc w:val="left"/>
      <w:pPr>
        <w:ind w:left="4250" w:hanging="129"/>
      </w:pPr>
      <w:rPr>
        <w:rFonts w:hint="default"/>
        <w:lang w:val="hr-HR" w:eastAsia="en-US" w:bidi="ar-SA"/>
      </w:rPr>
    </w:lvl>
    <w:lvl w:ilvl="5" w:tplc="0466363C">
      <w:numFmt w:val="bullet"/>
      <w:lvlText w:val="•"/>
      <w:lvlJc w:val="left"/>
      <w:pPr>
        <w:ind w:left="5283" w:hanging="129"/>
      </w:pPr>
      <w:rPr>
        <w:rFonts w:hint="default"/>
        <w:lang w:val="hr-HR" w:eastAsia="en-US" w:bidi="ar-SA"/>
      </w:rPr>
    </w:lvl>
    <w:lvl w:ilvl="6" w:tplc="0F405A32">
      <w:numFmt w:val="bullet"/>
      <w:lvlText w:val="•"/>
      <w:lvlJc w:val="left"/>
      <w:pPr>
        <w:ind w:left="6315" w:hanging="129"/>
      </w:pPr>
      <w:rPr>
        <w:rFonts w:hint="default"/>
        <w:lang w:val="hr-HR" w:eastAsia="en-US" w:bidi="ar-SA"/>
      </w:rPr>
    </w:lvl>
    <w:lvl w:ilvl="7" w:tplc="B35EAC4E">
      <w:numFmt w:val="bullet"/>
      <w:lvlText w:val="•"/>
      <w:lvlJc w:val="left"/>
      <w:pPr>
        <w:ind w:left="7348" w:hanging="129"/>
      </w:pPr>
      <w:rPr>
        <w:rFonts w:hint="default"/>
        <w:lang w:val="hr-HR" w:eastAsia="en-US" w:bidi="ar-SA"/>
      </w:rPr>
    </w:lvl>
    <w:lvl w:ilvl="8" w:tplc="9CDE8AB0">
      <w:numFmt w:val="bullet"/>
      <w:lvlText w:val="•"/>
      <w:lvlJc w:val="left"/>
      <w:pPr>
        <w:ind w:left="8380" w:hanging="129"/>
      </w:pPr>
      <w:rPr>
        <w:rFonts w:hint="default"/>
        <w:lang w:val="hr-HR" w:eastAsia="en-US" w:bidi="ar-SA"/>
      </w:rPr>
    </w:lvl>
  </w:abstractNum>
  <w:abstractNum w:abstractNumId="1" w15:restartNumberingAfterBreak="0">
    <w:nsid w:val="5DC7783F"/>
    <w:multiLevelType w:val="hybridMultilevel"/>
    <w:tmpl w:val="BF18844A"/>
    <w:lvl w:ilvl="0" w:tplc="D0C2541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0" w:hanging="360"/>
      </w:pPr>
    </w:lvl>
    <w:lvl w:ilvl="2" w:tplc="041A001B" w:tentative="1">
      <w:start w:val="1"/>
      <w:numFmt w:val="lowerRoman"/>
      <w:lvlText w:val="%3."/>
      <w:lvlJc w:val="right"/>
      <w:pPr>
        <w:ind w:left="1910" w:hanging="180"/>
      </w:pPr>
    </w:lvl>
    <w:lvl w:ilvl="3" w:tplc="041A000F" w:tentative="1">
      <w:start w:val="1"/>
      <w:numFmt w:val="decimal"/>
      <w:lvlText w:val="%4."/>
      <w:lvlJc w:val="left"/>
      <w:pPr>
        <w:ind w:left="2630" w:hanging="360"/>
      </w:pPr>
    </w:lvl>
    <w:lvl w:ilvl="4" w:tplc="041A0019" w:tentative="1">
      <w:start w:val="1"/>
      <w:numFmt w:val="lowerLetter"/>
      <w:lvlText w:val="%5."/>
      <w:lvlJc w:val="left"/>
      <w:pPr>
        <w:ind w:left="3350" w:hanging="360"/>
      </w:pPr>
    </w:lvl>
    <w:lvl w:ilvl="5" w:tplc="041A001B" w:tentative="1">
      <w:start w:val="1"/>
      <w:numFmt w:val="lowerRoman"/>
      <w:lvlText w:val="%6."/>
      <w:lvlJc w:val="right"/>
      <w:pPr>
        <w:ind w:left="4070" w:hanging="180"/>
      </w:pPr>
    </w:lvl>
    <w:lvl w:ilvl="6" w:tplc="041A000F" w:tentative="1">
      <w:start w:val="1"/>
      <w:numFmt w:val="decimal"/>
      <w:lvlText w:val="%7."/>
      <w:lvlJc w:val="left"/>
      <w:pPr>
        <w:ind w:left="4790" w:hanging="360"/>
      </w:pPr>
    </w:lvl>
    <w:lvl w:ilvl="7" w:tplc="041A0019" w:tentative="1">
      <w:start w:val="1"/>
      <w:numFmt w:val="lowerLetter"/>
      <w:lvlText w:val="%8."/>
      <w:lvlJc w:val="left"/>
      <w:pPr>
        <w:ind w:left="5510" w:hanging="360"/>
      </w:pPr>
    </w:lvl>
    <w:lvl w:ilvl="8" w:tplc="041A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48"/>
    <w:rsid w:val="0000388A"/>
    <w:rsid w:val="0001128A"/>
    <w:rsid w:val="00013414"/>
    <w:rsid w:val="00017C86"/>
    <w:rsid w:val="000262C2"/>
    <w:rsid w:val="00030B7A"/>
    <w:rsid w:val="00031127"/>
    <w:rsid w:val="00045022"/>
    <w:rsid w:val="00056E34"/>
    <w:rsid w:val="0007312A"/>
    <w:rsid w:val="00080010"/>
    <w:rsid w:val="00087F33"/>
    <w:rsid w:val="0009791B"/>
    <w:rsid w:val="000A637E"/>
    <w:rsid w:val="000B1694"/>
    <w:rsid w:val="000B1CCF"/>
    <w:rsid w:val="000B2B6F"/>
    <w:rsid w:val="000D7648"/>
    <w:rsid w:val="000E01B1"/>
    <w:rsid w:val="000E59EA"/>
    <w:rsid w:val="000F2A0C"/>
    <w:rsid w:val="0010585C"/>
    <w:rsid w:val="00107654"/>
    <w:rsid w:val="00124D62"/>
    <w:rsid w:val="001316CA"/>
    <w:rsid w:val="00141E21"/>
    <w:rsid w:val="0014420E"/>
    <w:rsid w:val="00147A58"/>
    <w:rsid w:val="00155E38"/>
    <w:rsid w:val="00171B33"/>
    <w:rsid w:val="00175BBD"/>
    <w:rsid w:val="001902D3"/>
    <w:rsid w:val="001A0D30"/>
    <w:rsid w:val="001B1B01"/>
    <w:rsid w:val="001B2C07"/>
    <w:rsid w:val="001C16CA"/>
    <w:rsid w:val="001D5E0E"/>
    <w:rsid w:val="001E2911"/>
    <w:rsid w:val="001E5A3B"/>
    <w:rsid w:val="001E782A"/>
    <w:rsid w:val="001F5FB9"/>
    <w:rsid w:val="00212596"/>
    <w:rsid w:val="0021277D"/>
    <w:rsid w:val="002236F8"/>
    <w:rsid w:val="00225DC6"/>
    <w:rsid w:val="0023098D"/>
    <w:rsid w:val="00231872"/>
    <w:rsid w:val="00232D00"/>
    <w:rsid w:val="00235BAC"/>
    <w:rsid w:val="00250749"/>
    <w:rsid w:val="002528D9"/>
    <w:rsid w:val="002543DA"/>
    <w:rsid w:val="0027064B"/>
    <w:rsid w:val="00270A23"/>
    <w:rsid w:val="00272417"/>
    <w:rsid w:val="002A17E1"/>
    <w:rsid w:val="002A6195"/>
    <w:rsid w:val="002B2A87"/>
    <w:rsid w:val="002E4D0C"/>
    <w:rsid w:val="002E6669"/>
    <w:rsid w:val="002F6A9B"/>
    <w:rsid w:val="00302BD7"/>
    <w:rsid w:val="00323CA1"/>
    <w:rsid w:val="00341F1F"/>
    <w:rsid w:val="003455A3"/>
    <w:rsid w:val="003455C0"/>
    <w:rsid w:val="00354B3B"/>
    <w:rsid w:val="00361AD3"/>
    <w:rsid w:val="003836CF"/>
    <w:rsid w:val="00384ECB"/>
    <w:rsid w:val="003850E6"/>
    <w:rsid w:val="003B029F"/>
    <w:rsid w:val="003B6FA9"/>
    <w:rsid w:val="003F41D0"/>
    <w:rsid w:val="00403CC5"/>
    <w:rsid w:val="0040652B"/>
    <w:rsid w:val="004707A5"/>
    <w:rsid w:val="004768A7"/>
    <w:rsid w:val="00477E19"/>
    <w:rsid w:val="0048111C"/>
    <w:rsid w:val="00491657"/>
    <w:rsid w:val="004B26BB"/>
    <w:rsid w:val="004D2F49"/>
    <w:rsid w:val="004D784B"/>
    <w:rsid w:val="004E354E"/>
    <w:rsid w:val="004F0BD6"/>
    <w:rsid w:val="004F1B16"/>
    <w:rsid w:val="00511FA0"/>
    <w:rsid w:val="00516AFD"/>
    <w:rsid w:val="005214DB"/>
    <w:rsid w:val="00521B0F"/>
    <w:rsid w:val="005320D4"/>
    <w:rsid w:val="00551CAD"/>
    <w:rsid w:val="00555949"/>
    <w:rsid w:val="00562CCB"/>
    <w:rsid w:val="00564BD4"/>
    <w:rsid w:val="00576758"/>
    <w:rsid w:val="005A47DE"/>
    <w:rsid w:val="005A4D41"/>
    <w:rsid w:val="005C08BE"/>
    <w:rsid w:val="005C333A"/>
    <w:rsid w:val="005C5A32"/>
    <w:rsid w:val="005C7217"/>
    <w:rsid w:val="005D1222"/>
    <w:rsid w:val="005D7394"/>
    <w:rsid w:val="005F028B"/>
    <w:rsid w:val="005F746F"/>
    <w:rsid w:val="006042C8"/>
    <w:rsid w:val="006051D5"/>
    <w:rsid w:val="00616193"/>
    <w:rsid w:val="006174B8"/>
    <w:rsid w:val="00626084"/>
    <w:rsid w:val="00631D8C"/>
    <w:rsid w:val="00635015"/>
    <w:rsid w:val="00641980"/>
    <w:rsid w:val="006512C2"/>
    <w:rsid w:val="00651487"/>
    <w:rsid w:val="00653521"/>
    <w:rsid w:val="0065578D"/>
    <w:rsid w:val="006571FC"/>
    <w:rsid w:val="00657C38"/>
    <w:rsid w:val="006604FC"/>
    <w:rsid w:val="00662D16"/>
    <w:rsid w:val="00671237"/>
    <w:rsid w:val="00673318"/>
    <w:rsid w:val="0069389F"/>
    <w:rsid w:val="00697428"/>
    <w:rsid w:val="00697985"/>
    <w:rsid w:val="006A5596"/>
    <w:rsid w:val="006B3AFC"/>
    <w:rsid w:val="006B4393"/>
    <w:rsid w:val="006D46C3"/>
    <w:rsid w:val="006D47FB"/>
    <w:rsid w:val="006D7AC5"/>
    <w:rsid w:val="006E2477"/>
    <w:rsid w:val="006E62F2"/>
    <w:rsid w:val="00703499"/>
    <w:rsid w:val="0071498B"/>
    <w:rsid w:val="0071631A"/>
    <w:rsid w:val="00732E3A"/>
    <w:rsid w:val="00743C3F"/>
    <w:rsid w:val="00757A0A"/>
    <w:rsid w:val="00763F85"/>
    <w:rsid w:val="00780AEA"/>
    <w:rsid w:val="0079322A"/>
    <w:rsid w:val="00794B9C"/>
    <w:rsid w:val="007A2F5E"/>
    <w:rsid w:val="007A3E33"/>
    <w:rsid w:val="007A4236"/>
    <w:rsid w:val="007A7D05"/>
    <w:rsid w:val="007B2C05"/>
    <w:rsid w:val="007C53D3"/>
    <w:rsid w:val="007D28C3"/>
    <w:rsid w:val="007D31F7"/>
    <w:rsid w:val="007D3B20"/>
    <w:rsid w:val="007D6058"/>
    <w:rsid w:val="007E0E0B"/>
    <w:rsid w:val="007E1FF5"/>
    <w:rsid w:val="007F5ADA"/>
    <w:rsid w:val="007F74B3"/>
    <w:rsid w:val="0081050E"/>
    <w:rsid w:val="0081424A"/>
    <w:rsid w:val="00821CFC"/>
    <w:rsid w:val="008352C5"/>
    <w:rsid w:val="00837AE3"/>
    <w:rsid w:val="00841226"/>
    <w:rsid w:val="0086180F"/>
    <w:rsid w:val="00863F63"/>
    <w:rsid w:val="00865548"/>
    <w:rsid w:val="00891BFC"/>
    <w:rsid w:val="00896BFF"/>
    <w:rsid w:val="008C16CB"/>
    <w:rsid w:val="008C4067"/>
    <w:rsid w:val="008D57D0"/>
    <w:rsid w:val="008D78FE"/>
    <w:rsid w:val="008E033B"/>
    <w:rsid w:val="008E44E1"/>
    <w:rsid w:val="00901093"/>
    <w:rsid w:val="009013CA"/>
    <w:rsid w:val="0090532E"/>
    <w:rsid w:val="009237C9"/>
    <w:rsid w:val="00950A79"/>
    <w:rsid w:val="00951DAC"/>
    <w:rsid w:val="00956F68"/>
    <w:rsid w:val="00957AD8"/>
    <w:rsid w:val="00982222"/>
    <w:rsid w:val="009A2FD3"/>
    <w:rsid w:val="009A6DDD"/>
    <w:rsid w:val="009B53CB"/>
    <w:rsid w:val="00A2585A"/>
    <w:rsid w:val="00A27C93"/>
    <w:rsid w:val="00A603FE"/>
    <w:rsid w:val="00A875C2"/>
    <w:rsid w:val="00A91C7F"/>
    <w:rsid w:val="00AB4B4D"/>
    <w:rsid w:val="00AC3C62"/>
    <w:rsid w:val="00AD3D8B"/>
    <w:rsid w:val="00AD5BA5"/>
    <w:rsid w:val="00AD63AD"/>
    <w:rsid w:val="00AD7E37"/>
    <w:rsid w:val="00AE5318"/>
    <w:rsid w:val="00AF0550"/>
    <w:rsid w:val="00AF0E55"/>
    <w:rsid w:val="00B12589"/>
    <w:rsid w:val="00B21C90"/>
    <w:rsid w:val="00B21D6E"/>
    <w:rsid w:val="00B2335E"/>
    <w:rsid w:val="00B30D6B"/>
    <w:rsid w:val="00B47696"/>
    <w:rsid w:val="00B56B5F"/>
    <w:rsid w:val="00B7289C"/>
    <w:rsid w:val="00B7689A"/>
    <w:rsid w:val="00B93812"/>
    <w:rsid w:val="00BB0C44"/>
    <w:rsid w:val="00BB209F"/>
    <w:rsid w:val="00BD7BCE"/>
    <w:rsid w:val="00BE4945"/>
    <w:rsid w:val="00C03ABE"/>
    <w:rsid w:val="00C04E7A"/>
    <w:rsid w:val="00C14A5E"/>
    <w:rsid w:val="00C26FDC"/>
    <w:rsid w:val="00C30214"/>
    <w:rsid w:val="00C31525"/>
    <w:rsid w:val="00C32335"/>
    <w:rsid w:val="00C3506E"/>
    <w:rsid w:val="00C363D0"/>
    <w:rsid w:val="00C374E1"/>
    <w:rsid w:val="00C42117"/>
    <w:rsid w:val="00C44DD7"/>
    <w:rsid w:val="00C50395"/>
    <w:rsid w:val="00C521E2"/>
    <w:rsid w:val="00C619D5"/>
    <w:rsid w:val="00C61ACF"/>
    <w:rsid w:val="00C65C3A"/>
    <w:rsid w:val="00C77C7C"/>
    <w:rsid w:val="00C82CFF"/>
    <w:rsid w:val="00CA0BC2"/>
    <w:rsid w:val="00CC1C40"/>
    <w:rsid w:val="00CC4FDD"/>
    <w:rsid w:val="00CD73F8"/>
    <w:rsid w:val="00CE341E"/>
    <w:rsid w:val="00CE400D"/>
    <w:rsid w:val="00CE5715"/>
    <w:rsid w:val="00CE7F37"/>
    <w:rsid w:val="00CF336A"/>
    <w:rsid w:val="00D02929"/>
    <w:rsid w:val="00D03177"/>
    <w:rsid w:val="00D04E27"/>
    <w:rsid w:val="00D152BE"/>
    <w:rsid w:val="00D20C84"/>
    <w:rsid w:val="00D23E2A"/>
    <w:rsid w:val="00D36F6B"/>
    <w:rsid w:val="00D40120"/>
    <w:rsid w:val="00D5350F"/>
    <w:rsid w:val="00D643EF"/>
    <w:rsid w:val="00D7190C"/>
    <w:rsid w:val="00D72F52"/>
    <w:rsid w:val="00D75E8F"/>
    <w:rsid w:val="00D84E3D"/>
    <w:rsid w:val="00D924AA"/>
    <w:rsid w:val="00DA58EF"/>
    <w:rsid w:val="00DA739E"/>
    <w:rsid w:val="00DB3539"/>
    <w:rsid w:val="00DC12B0"/>
    <w:rsid w:val="00DC1B3C"/>
    <w:rsid w:val="00DD2D4F"/>
    <w:rsid w:val="00DF25F5"/>
    <w:rsid w:val="00E02BD3"/>
    <w:rsid w:val="00E0364F"/>
    <w:rsid w:val="00E12AFF"/>
    <w:rsid w:val="00E12CFC"/>
    <w:rsid w:val="00E14349"/>
    <w:rsid w:val="00E17E32"/>
    <w:rsid w:val="00E24DD3"/>
    <w:rsid w:val="00E34DE2"/>
    <w:rsid w:val="00E64420"/>
    <w:rsid w:val="00E65BEE"/>
    <w:rsid w:val="00E807F7"/>
    <w:rsid w:val="00E83054"/>
    <w:rsid w:val="00E852AB"/>
    <w:rsid w:val="00E91848"/>
    <w:rsid w:val="00E94FEE"/>
    <w:rsid w:val="00EA6329"/>
    <w:rsid w:val="00EC4E53"/>
    <w:rsid w:val="00ED51E9"/>
    <w:rsid w:val="00EE5BB5"/>
    <w:rsid w:val="00F00658"/>
    <w:rsid w:val="00F220BE"/>
    <w:rsid w:val="00F40F15"/>
    <w:rsid w:val="00F45616"/>
    <w:rsid w:val="00F65332"/>
    <w:rsid w:val="00F67138"/>
    <w:rsid w:val="00F857D4"/>
    <w:rsid w:val="00F90BF4"/>
    <w:rsid w:val="00F92921"/>
    <w:rsid w:val="00F92D5F"/>
    <w:rsid w:val="00F97F21"/>
    <w:rsid w:val="00FA327C"/>
    <w:rsid w:val="00FD4E25"/>
    <w:rsid w:val="00FD54F4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00B9"/>
  <w15:docId w15:val="{AA5C6EC0-CB95-4B44-B76C-3E562E53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123"/>
      <w:ind w:left="110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link w:val="Naslov2Char"/>
    <w:uiPriority w:val="9"/>
    <w:unhideWhenUsed/>
    <w:qFormat/>
    <w:pPr>
      <w:spacing w:before="130"/>
      <w:ind w:left="110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239" w:hanging="13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44DD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4DD7"/>
    <w:rPr>
      <w:rFonts w:ascii="Tahoma" w:eastAsia="Times New Roman" w:hAnsi="Tahoma" w:cs="Tahoma"/>
      <w:sz w:val="16"/>
      <w:szCs w:val="16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3455A3"/>
    <w:rPr>
      <w:rFonts w:ascii="Times New Roman" w:eastAsia="Times New Roman" w:hAnsi="Times New Roman" w:cs="Times New Roman"/>
      <w:b/>
      <w:bCs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5320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20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320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20D4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</dc:creator>
  <cp:lastModifiedBy>Tajana Briševac</cp:lastModifiedBy>
  <cp:revision>16</cp:revision>
  <cp:lastPrinted>2025-09-29T09:51:00Z</cp:lastPrinted>
  <dcterms:created xsi:type="dcterms:W3CDTF">2025-09-24T12:13:00Z</dcterms:created>
  <dcterms:modified xsi:type="dcterms:W3CDTF">2025-09-29T09:51:00Z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2022-12-16T00:00:00Z</vt:filetime>
  </property>
</Properties>
</file>