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BE" w:rsidRDefault="00240BBE" w:rsidP="00FD2BF4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:rsidR="00240BBE" w:rsidRPr="002C6A84" w:rsidRDefault="00240BBE" w:rsidP="00240BBE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NAZIV PRORAČUNSKOG KORISNIKA:</w:t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</w:p>
    <w:p w:rsidR="00240BBE" w:rsidRPr="002C6A84" w:rsidRDefault="00240BBE" w:rsidP="00240BBE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OPĆINSKO DRŽAVNO ODVJETNIŠTVO</w:t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  <w:t>BROJ RKP: 04526</w:t>
      </w:r>
    </w:p>
    <w:p w:rsidR="00240BBE" w:rsidRPr="002C6A84" w:rsidRDefault="00240BBE" w:rsidP="00240BBE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U ČAKOVCU</w:t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  <w:t>MATIČNI BROJ: 03110770</w:t>
      </w:r>
    </w:p>
    <w:p w:rsidR="00240BBE" w:rsidRPr="002C6A84" w:rsidRDefault="00240BBE" w:rsidP="00240BBE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ULICA KRALJA TOMISLAVA 12</w:t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  <w:t xml:space="preserve">OIB: </w:t>
      </w:r>
      <w:r w:rsidR="006B3B24"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>35997508988</w:t>
      </w:r>
    </w:p>
    <w:p w:rsidR="00240BBE" w:rsidRPr="002C6A84" w:rsidRDefault="00240BBE" w:rsidP="00240BBE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40000 ČAKOVEC</w:t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  <w:t>ŠIFRA DJELATNOSTI: 8423</w:t>
      </w:r>
    </w:p>
    <w:p w:rsidR="00240BBE" w:rsidRPr="002C6A84" w:rsidRDefault="00175087" w:rsidP="00240BBE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RAZINA:</w:t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</w:r>
      <w:r w:rsidR="00240BBE" w:rsidRPr="002C6A84">
        <w:rPr>
          <w:rFonts w:ascii="Times New Roman" w:hAnsi="Times New Roman"/>
          <w:noProof w:val="0"/>
          <w:sz w:val="24"/>
        </w:rPr>
        <w:t>11</w:t>
      </w:r>
    </w:p>
    <w:p w:rsidR="00240BBE" w:rsidRPr="002C6A84" w:rsidRDefault="00240BBE" w:rsidP="00240BBE">
      <w:pPr>
        <w:widowControl/>
        <w:autoSpaceDE/>
        <w:autoSpaceDN/>
        <w:adjustRightInd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RAZDJEL:</w:t>
      </w:r>
      <w:r w:rsidRPr="002C6A84">
        <w:rPr>
          <w:rFonts w:ascii="Times New Roman" w:hAnsi="Times New Roman"/>
          <w:noProof w:val="0"/>
          <w:sz w:val="24"/>
        </w:rPr>
        <w:tab/>
      </w:r>
      <w:r w:rsidRPr="002C6A84">
        <w:rPr>
          <w:rFonts w:ascii="Times New Roman" w:hAnsi="Times New Roman"/>
          <w:noProof w:val="0"/>
          <w:sz w:val="24"/>
        </w:rPr>
        <w:tab/>
        <w:t>10985</w:t>
      </w:r>
    </w:p>
    <w:p w:rsidR="00240BBE" w:rsidRDefault="00240BBE" w:rsidP="00207FF5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sz w:val="24"/>
        </w:rPr>
      </w:pPr>
    </w:p>
    <w:p w:rsidR="0092233B" w:rsidRPr="002C6A84" w:rsidRDefault="0092233B" w:rsidP="00207FF5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sz w:val="24"/>
        </w:rPr>
      </w:pPr>
    </w:p>
    <w:p w:rsidR="00240BBE" w:rsidRPr="002C6A84" w:rsidRDefault="00240BBE" w:rsidP="00240BBE">
      <w:pPr>
        <w:tabs>
          <w:tab w:val="left" w:pos="1764"/>
        </w:tabs>
        <w:jc w:val="center"/>
        <w:rPr>
          <w:rFonts w:ascii="Times New Roman" w:hAnsi="Times New Roman"/>
          <w:b/>
          <w:sz w:val="24"/>
        </w:rPr>
      </w:pPr>
      <w:r w:rsidRPr="002C6A84">
        <w:rPr>
          <w:rFonts w:ascii="Times New Roman" w:hAnsi="Times New Roman"/>
          <w:b/>
          <w:sz w:val="24"/>
        </w:rPr>
        <w:t>OBRAZLOŽENJE OPĆEG DIJELA FINANCIJSKOG PLANA</w:t>
      </w:r>
    </w:p>
    <w:p w:rsidR="00240BBE" w:rsidRPr="002C6A84" w:rsidRDefault="00240BBE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b/>
          <w:noProof w:val="0"/>
          <w:sz w:val="24"/>
        </w:rPr>
      </w:pPr>
      <w:r w:rsidRPr="002C6A84">
        <w:rPr>
          <w:rFonts w:ascii="Times New Roman" w:hAnsi="Times New Roman"/>
          <w:b/>
          <w:noProof w:val="0"/>
          <w:sz w:val="24"/>
        </w:rPr>
        <w:t>PRIHODI I PRIMICI</w:t>
      </w: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9A5556">
      <w:pPr>
        <w:widowControl/>
        <w:autoSpaceDE/>
        <w:autoSpaceDN/>
        <w:adjustRightInd/>
        <w:jc w:val="both"/>
        <w:rPr>
          <w:rFonts w:ascii="Times New Roman" w:hAnsi="Times New Roman"/>
          <w:bCs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Prihodi za rad Općinskog državnog odvjetništva u Čakovcu osiguravaju se iz Državnog prora</w:t>
      </w:r>
      <w:r w:rsidR="007E4DC1" w:rsidRPr="002C6A84">
        <w:rPr>
          <w:rFonts w:ascii="Times New Roman" w:hAnsi="Times New Roman"/>
          <w:noProof w:val="0"/>
          <w:sz w:val="24"/>
        </w:rPr>
        <w:t>čuna Republike Hrvatske iz izvor</w:t>
      </w:r>
      <w:r w:rsidRPr="002C6A84">
        <w:rPr>
          <w:rFonts w:ascii="Times New Roman" w:hAnsi="Times New Roman"/>
          <w:noProof w:val="0"/>
          <w:sz w:val="24"/>
        </w:rPr>
        <w:t xml:space="preserve">a 11 Opći prihodi i primici, dok se u manjem dijelu planira ostvariti vlastite prihode </w:t>
      </w:r>
      <w:r w:rsidR="00735323">
        <w:rPr>
          <w:rFonts w:ascii="Times New Roman" w:hAnsi="Times New Roman"/>
          <w:noProof w:val="0"/>
          <w:sz w:val="24"/>
        </w:rPr>
        <w:t xml:space="preserve">iz </w:t>
      </w:r>
      <w:r w:rsidR="007E4DC1" w:rsidRPr="002C6A84">
        <w:rPr>
          <w:rFonts w:ascii="Times New Roman" w:hAnsi="Times New Roman"/>
          <w:noProof w:val="0"/>
          <w:sz w:val="24"/>
        </w:rPr>
        <w:t>izvor</w:t>
      </w:r>
      <w:r w:rsidR="00735323">
        <w:rPr>
          <w:rFonts w:ascii="Times New Roman" w:hAnsi="Times New Roman"/>
          <w:noProof w:val="0"/>
          <w:sz w:val="24"/>
        </w:rPr>
        <w:t>a</w:t>
      </w:r>
      <w:r w:rsidR="007E4DC1" w:rsidRPr="002C6A84">
        <w:rPr>
          <w:rFonts w:ascii="Times New Roman" w:hAnsi="Times New Roman"/>
          <w:noProof w:val="0"/>
          <w:sz w:val="24"/>
        </w:rPr>
        <w:t xml:space="preserve"> 31 </w:t>
      </w:r>
      <w:r w:rsidR="001721FC">
        <w:rPr>
          <w:rFonts w:ascii="Times New Roman" w:hAnsi="Times New Roman"/>
          <w:noProof w:val="0"/>
          <w:sz w:val="24"/>
        </w:rPr>
        <w:t>od usluga preslikavanja, ispisa i umnožavanja</w:t>
      </w:r>
      <w:r w:rsidRPr="002C6A84">
        <w:rPr>
          <w:rFonts w:ascii="Times New Roman" w:hAnsi="Times New Roman"/>
          <w:noProof w:val="0"/>
          <w:sz w:val="24"/>
        </w:rPr>
        <w:t xml:space="preserve"> dokumenata iz predmeta kao i </w:t>
      </w:r>
      <w:r w:rsidR="00735323">
        <w:rPr>
          <w:rFonts w:ascii="Times New Roman" w:hAnsi="Times New Roman"/>
          <w:noProof w:val="0"/>
          <w:sz w:val="24"/>
        </w:rPr>
        <w:t xml:space="preserve">usluge </w:t>
      </w:r>
      <w:r w:rsidR="001721FC">
        <w:rPr>
          <w:rFonts w:ascii="Times New Roman" w:hAnsi="Times New Roman"/>
          <w:noProof w:val="0"/>
          <w:sz w:val="24"/>
        </w:rPr>
        <w:t>presnimavanja audio-video snimke na optički medij</w:t>
      </w:r>
      <w:r w:rsidRPr="002C6A84">
        <w:rPr>
          <w:rFonts w:ascii="Times New Roman" w:hAnsi="Times New Roman"/>
          <w:noProof w:val="0"/>
          <w:sz w:val="24"/>
        </w:rPr>
        <w:t xml:space="preserve"> i prepisivanja zvučnih snimki. Vlastiti prihodi uplaćuju se </w:t>
      </w:r>
      <w:r w:rsidR="00735323">
        <w:rPr>
          <w:rFonts w:ascii="Times New Roman" w:hAnsi="Times New Roman"/>
          <w:noProof w:val="0"/>
          <w:sz w:val="24"/>
        </w:rPr>
        <w:t>u Državni proračun te se doznačuju</w:t>
      </w:r>
      <w:r w:rsidRPr="002C6A84">
        <w:rPr>
          <w:rFonts w:ascii="Times New Roman" w:hAnsi="Times New Roman"/>
          <w:noProof w:val="0"/>
          <w:sz w:val="24"/>
        </w:rPr>
        <w:t xml:space="preserve"> iz Riznice istovremeno kada i </w:t>
      </w:r>
      <w:r w:rsidR="00735323">
        <w:rPr>
          <w:rFonts w:ascii="Times New Roman" w:hAnsi="Times New Roman"/>
          <w:noProof w:val="0"/>
          <w:sz w:val="24"/>
        </w:rPr>
        <w:t>sredstva za redovno poslovanje za</w:t>
      </w:r>
      <w:r w:rsidRPr="002C6A84">
        <w:rPr>
          <w:rFonts w:ascii="Times New Roman" w:hAnsi="Times New Roman"/>
          <w:noProof w:val="0"/>
          <w:sz w:val="24"/>
        </w:rPr>
        <w:t xml:space="preserve"> plaćanje tekućih rashoda</w:t>
      </w:r>
      <w:r w:rsidR="00FD52D8">
        <w:rPr>
          <w:rFonts w:ascii="Times New Roman" w:hAnsi="Times New Roman"/>
          <w:bCs/>
          <w:noProof w:val="0"/>
          <w:sz w:val="24"/>
        </w:rPr>
        <w:t>, koja su proračunom za 2026</w:t>
      </w:r>
      <w:r w:rsidR="00735323">
        <w:rPr>
          <w:rFonts w:ascii="Times New Roman" w:hAnsi="Times New Roman"/>
          <w:bCs/>
          <w:noProof w:val="0"/>
          <w:sz w:val="24"/>
        </w:rPr>
        <w:t>.</w:t>
      </w:r>
      <w:r w:rsidR="00D4441F">
        <w:rPr>
          <w:rFonts w:ascii="Times New Roman" w:hAnsi="Times New Roman"/>
          <w:noProof w:val="0"/>
          <w:sz w:val="24"/>
        </w:rPr>
        <w:t>-202</w:t>
      </w:r>
      <w:r w:rsidR="00FD52D8">
        <w:rPr>
          <w:rFonts w:ascii="Times New Roman" w:hAnsi="Times New Roman"/>
          <w:noProof w:val="0"/>
          <w:sz w:val="24"/>
        </w:rPr>
        <w:t>8</w:t>
      </w:r>
      <w:r w:rsidRPr="002C6A84">
        <w:rPr>
          <w:rFonts w:ascii="Times New Roman" w:hAnsi="Times New Roman"/>
          <w:noProof w:val="0"/>
          <w:sz w:val="24"/>
        </w:rPr>
        <w:t>. planirana na računu 3235 Zakupnine i najamnina</w:t>
      </w:r>
      <w:r w:rsidRPr="002C6A84">
        <w:rPr>
          <w:rFonts w:ascii="Times New Roman" w:hAnsi="Times New Roman"/>
          <w:bCs/>
          <w:noProof w:val="0"/>
          <w:sz w:val="24"/>
        </w:rPr>
        <w:t xml:space="preserve"> </w:t>
      </w:r>
      <w:r w:rsidRPr="002C6A84">
        <w:rPr>
          <w:rFonts w:ascii="Times New Roman" w:hAnsi="Times New Roman"/>
          <w:noProof w:val="0"/>
          <w:sz w:val="24"/>
        </w:rPr>
        <w:t>unutar redovne aktivnosti Općinskog državnog odvjetništva u Čak</w:t>
      </w:r>
      <w:r w:rsidRPr="002C6A84">
        <w:rPr>
          <w:rFonts w:ascii="Times New Roman" w:hAnsi="Times New Roman"/>
          <w:bCs/>
          <w:noProof w:val="0"/>
          <w:sz w:val="24"/>
        </w:rPr>
        <w:t xml:space="preserve">ovcu kao proračunskog korisnika. </w:t>
      </w:r>
    </w:p>
    <w:p w:rsidR="00240BBE" w:rsidRPr="002C6A84" w:rsidRDefault="00240BBE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Pla</w:t>
      </w:r>
      <w:r w:rsidR="00964B07">
        <w:rPr>
          <w:rFonts w:ascii="Times New Roman" w:hAnsi="Times New Roman"/>
          <w:noProof w:val="0"/>
          <w:sz w:val="24"/>
        </w:rPr>
        <w:t>nirani prihodi i primici za 2026</w:t>
      </w:r>
      <w:r w:rsidRPr="002C6A84">
        <w:rPr>
          <w:rFonts w:ascii="Times New Roman" w:hAnsi="Times New Roman"/>
          <w:noProof w:val="0"/>
          <w:sz w:val="24"/>
        </w:rPr>
        <w:t xml:space="preserve">. godinu planirani su u iznosu od </w:t>
      </w:r>
      <w:r w:rsidR="009F407A">
        <w:rPr>
          <w:rFonts w:ascii="Times New Roman" w:hAnsi="Times New Roman"/>
          <w:noProof w:val="0"/>
          <w:sz w:val="24"/>
        </w:rPr>
        <w:t>1.832.357</w:t>
      </w:r>
      <w:r w:rsidR="00735323">
        <w:rPr>
          <w:rFonts w:ascii="Times New Roman" w:hAnsi="Times New Roman"/>
          <w:noProof w:val="0"/>
          <w:sz w:val="24"/>
        </w:rPr>
        <w:t>,00</w:t>
      </w:r>
      <w:r w:rsidRPr="002C6A84">
        <w:rPr>
          <w:rFonts w:ascii="Times New Roman" w:hAnsi="Times New Roman"/>
          <w:noProof w:val="0"/>
          <w:sz w:val="24"/>
        </w:rPr>
        <w:t xml:space="preserve"> eura od toga iz izvora 11 Opći prihodi i primici </w:t>
      </w:r>
      <w:r w:rsidR="009709D8">
        <w:rPr>
          <w:rFonts w:ascii="Times New Roman" w:hAnsi="Times New Roman"/>
          <w:noProof w:val="0"/>
          <w:sz w:val="24"/>
        </w:rPr>
        <w:t>planirani su u iznosu od 1.</w:t>
      </w:r>
      <w:r w:rsidR="009F407A">
        <w:rPr>
          <w:rFonts w:ascii="Times New Roman" w:hAnsi="Times New Roman"/>
          <w:noProof w:val="0"/>
          <w:sz w:val="24"/>
        </w:rPr>
        <w:t>831.879</w:t>
      </w:r>
      <w:r w:rsidR="00735323">
        <w:rPr>
          <w:rFonts w:ascii="Times New Roman" w:hAnsi="Times New Roman"/>
          <w:noProof w:val="0"/>
          <w:sz w:val="24"/>
        </w:rPr>
        <w:t>,00</w:t>
      </w:r>
      <w:r w:rsidRPr="002C6A84">
        <w:rPr>
          <w:rFonts w:ascii="Times New Roman" w:hAnsi="Times New Roman"/>
          <w:noProof w:val="0"/>
          <w:sz w:val="24"/>
        </w:rPr>
        <w:t xml:space="preserve"> eura i iz izvora </w:t>
      </w:r>
      <w:r w:rsidR="00735323">
        <w:rPr>
          <w:rFonts w:ascii="Times New Roman" w:hAnsi="Times New Roman"/>
          <w:noProof w:val="0"/>
          <w:sz w:val="24"/>
        </w:rPr>
        <w:t>31 Vlastiti prihodi 478,00</w:t>
      </w:r>
      <w:r w:rsidRPr="002C6A84">
        <w:rPr>
          <w:rFonts w:ascii="Times New Roman" w:hAnsi="Times New Roman"/>
          <w:noProof w:val="0"/>
          <w:sz w:val="24"/>
        </w:rPr>
        <w:t xml:space="preserve"> eura</w:t>
      </w:r>
      <w:r w:rsidR="00A624DF" w:rsidRPr="002C6A84">
        <w:rPr>
          <w:rFonts w:ascii="Times New Roman" w:hAnsi="Times New Roman"/>
          <w:noProof w:val="0"/>
          <w:sz w:val="24"/>
        </w:rPr>
        <w:t>.</w:t>
      </w: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Pla</w:t>
      </w:r>
      <w:r w:rsidR="00964B07">
        <w:rPr>
          <w:rFonts w:ascii="Times New Roman" w:hAnsi="Times New Roman"/>
          <w:noProof w:val="0"/>
          <w:sz w:val="24"/>
        </w:rPr>
        <w:t>nirani prihodi i primici za 2027</w:t>
      </w:r>
      <w:r w:rsidRPr="002C6A84">
        <w:rPr>
          <w:rFonts w:ascii="Times New Roman" w:hAnsi="Times New Roman"/>
          <w:noProof w:val="0"/>
          <w:sz w:val="24"/>
        </w:rPr>
        <w:t xml:space="preserve"> godinu planirani su u iznosu od </w:t>
      </w:r>
      <w:r w:rsidR="009709D8">
        <w:rPr>
          <w:rFonts w:ascii="Times New Roman" w:hAnsi="Times New Roman"/>
          <w:noProof w:val="0"/>
          <w:sz w:val="24"/>
        </w:rPr>
        <w:t>1.</w:t>
      </w:r>
      <w:r w:rsidR="009F407A">
        <w:rPr>
          <w:rFonts w:ascii="Times New Roman" w:hAnsi="Times New Roman"/>
          <w:noProof w:val="0"/>
          <w:sz w:val="24"/>
        </w:rPr>
        <w:t>667.463</w:t>
      </w:r>
      <w:r w:rsidR="00BD5B98">
        <w:rPr>
          <w:rFonts w:ascii="Times New Roman" w:hAnsi="Times New Roman"/>
          <w:noProof w:val="0"/>
          <w:sz w:val="24"/>
        </w:rPr>
        <w:t>,00</w:t>
      </w:r>
      <w:r w:rsidRPr="002C6A84">
        <w:rPr>
          <w:rFonts w:ascii="Times New Roman" w:hAnsi="Times New Roman"/>
          <w:noProof w:val="0"/>
          <w:sz w:val="24"/>
        </w:rPr>
        <w:t xml:space="preserve"> eura od toga iz izvora 11 Opći prihodi i primici planirani</w:t>
      </w:r>
      <w:r w:rsidR="00780E5B" w:rsidRPr="002C6A84">
        <w:rPr>
          <w:rFonts w:ascii="Times New Roman" w:hAnsi="Times New Roman"/>
          <w:noProof w:val="0"/>
          <w:sz w:val="24"/>
        </w:rPr>
        <w:t xml:space="preserve"> su u iznosu od </w:t>
      </w:r>
      <w:r w:rsidR="009709D8">
        <w:rPr>
          <w:rFonts w:ascii="Times New Roman" w:hAnsi="Times New Roman"/>
          <w:noProof w:val="0"/>
          <w:sz w:val="24"/>
        </w:rPr>
        <w:t>1.</w:t>
      </w:r>
      <w:r w:rsidR="009F407A">
        <w:rPr>
          <w:rFonts w:ascii="Times New Roman" w:hAnsi="Times New Roman"/>
          <w:noProof w:val="0"/>
          <w:sz w:val="24"/>
        </w:rPr>
        <w:t>666.985</w:t>
      </w:r>
      <w:r w:rsidR="00BD5B98">
        <w:rPr>
          <w:rFonts w:ascii="Times New Roman" w:hAnsi="Times New Roman"/>
          <w:noProof w:val="0"/>
          <w:sz w:val="24"/>
        </w:rPr>
        <w:t>,00</w:t>
      </w:r>
      <w:r w:rsidRPr="002C6A84">
        <w:rPr>
          <w:rFonts w:ascii="Times New Roman" w:hAnsi="Times New Roman"/>
          <w:noProof w:val="0"/>
          <w:sz w:val="24"/>
        </w:rPr>
        <w:t xml:space="preserve"> eura i iz izvora 31</w:t>
      </w:r>
      <w:r w:rsidR="00780E5B" w:rsidRPr="002C6A84">
        <w:rPr>
          <w:rFonts w:ascii="Times New Roman" w:hAnsi="Times New Roman"/>
          <w:noProof w:val="0"/>
          <w:sz w:val="24"/>
        </w:rPr>
        <w:t xml:space="preserve"> Vlastiti prihodi 478</w:t>
      </w:r>
      <w:r w:rsidR="00BD5B98">
        <w:rPr>
          <w:rFonts w:ascii="Times New Roman" w:hAnsi="Times New Roman"/>
          <w:noProof w:val="0"/>
          <w:sz w:val="24"/>
        </w:rPr>
        <w:t>,00</w:t>
      </w:r>
      <w:r w:rsidRPr="002C6A84">
        <w:rPr>
          <w:rFonts w:ascii="Times New Roman" w:hAnsi="Times New Roman"/>
          <w:noProof w:val="0"/>
          <w:sz w:val="24"/>
        </w:rPr>
        <w:t xml:space="preserve"> eura.</w:t>
      </w: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>Pla</w:t>
      </w:r>
      <w:r w:rsidR="00964B07">
        <w:rPr>
          <w:rFonts w:ascii="Times New Roman" w:hAnsi="Times New Roman"/>
          <w:noProof w:val="0"/>
          <w:sz w:val="24"/>
        </w:rPr>
        <w:t>nirani prihodi i primici za 2028</w:t>
      </w:r>
      <w:r w:rsidRPr="002C6A84">
        <w:rPr>
          <w:rFonts w:ascii="Times New Roman" w:hAnsi="Times New Roman"/>
          <w:noProof w:val="0"/>
          <w:sz w:val="24"/>
        </w:rPr>
        <w:t xml:space="preserve"> godinu </w:t>
      </w:r>
      <w:r w:rsidR="00BD5B98">
        <w:rPr>
          <w:rFonts w:ascii="Times New Roman" w:hAnsi="Times New Roman"/>
          <w:noProof w:val="0"/>
          <w:sz w:val="24"/>
        </w:rPr>
        <w:t xml:space="preserve">planiranu su u iznosu od </w:t>
      </w:r>
      <w:r w:rsidR="009709D8">
        <w:rPr>
          <w:rFonts w:ascii="Times New Roman" w:hAnsi="Times New Roman"/>
          <w:noProof w:val="0"/>
          <w:sz w:val="24"/>
        </w:rPr>
        <w:t>1.</w:t>
      </w:r>
      <w:r w:rsidR="009F407A">
        <w:rPr>
          <w:rFonts w:ascii="Times New Roman" w:hAnsi="Times New Roman"/>
          <w:noProof w:val="0"/>
          <w:sz w:val="24"/>
        </w:rPr>
        <w:t>700.583</w:t>
      </w:r>
      <w:r w:rsidR="009709D8">
        <w:rPr>
          <w:rFonts w:ascii="Times New Roman" w:hAnsi="Times New Roman"/>
          <w:noProof w:val="0"/>
          <w:sz w:val="24"/>
        </w:rPr>
        <w:t>,00 eura od toga 1.</w:t>
      </w:r>
      <w:r w:rsidR="009F407A">
        <w:rPr>
          <w:rFonts w:ascii="Times New Roman" w:hAnsi="Times New Roman"/>
          <w:noProof w:val="0"/>
          <w:sz w:val="24"/>
        </w:rPr>
        <w:t>700.105,00</w:t>
      </w:r>
      <w:r w:rsidRPr="002C6A84">
        <w:rPr>
          <w:rFonts w:ascii="Times New Roman" w:hAnsi="Times New Roman"/>
          <w:noProof w:val="0"/>
          <w:sz w:val="24"/>
        </w:rPr>
        <w:t xml:space="preserve"> eura iz izvora 11 Opći prihodi i primici i iz izvora 31 Vlastiti prihodi 47</w:t>
      </w:r>
      <w:r w:rsidR="00982A20" w:rsidRPr="002C6A84">
        <w:rPr>
          <w:rFonts w:ascii="Times New Roman" w:hAnsi="Times New Roman"/>
          <w:noProof w:val="0"/>
          <w:sz w:val="24"/>
        </w:rPr>
        <w:t>8</w:t>
      </w:r>
      <w:r w:rsidR="00BD5B98">
        <w:rPr>
          <w:rFonts w:ascii="Times New Roman" w:hAnsi="Times New Roman"/>
          <w:noProof w:val="0"/>
          <w:sz w:val="24"/>
        </w:rPr>
        <w:t>,00</w:t>
      </w:r>
      <w:r w:rsidRPr="002C6A84">
        <w:rPr>
          <w:rFonts w:ascii="Times New Roman" w:hAnsi="Times New Roman"/>
          <w:noProof w:val="0"/>
          <w:sz w:val="24"/>
        </w:rPr>
        <w:t xml:space="preserve"> eura.</w:t>
      </w: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b/>
          <w:noProof w:val="0"/>
          <w:sz w:val="24"/>
        </w:rPr>
      </w:pPr>
      <w:r w:rsidRPr="002C6A84">
        <w:rPr>
          <w:rFonts w:ascii="Times New Roman" w:hAnsi="Times New Roman"/>
          <w:b/>
          <w:noProof w:val="0"/>
          <w:sz w:val="24"/>
        </w:rPr>
        <w:t>RASHODI I IZDACI</w:t>
      </w:r>
    </w:p>
    <w:p w:rsidR="00501C7C" w:rsidRPr="002C6A84" w:rsidRDefault="00501C7C" w:rsidP="00501C7C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105B64" w:rsidRPr="002C6A84" w:rsidRDefault="00797A64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</w:t>
      </w:r>
      <w:r w:rsidR="00D4441F">
        <w:rPr>
          <w:rFonts w:ascii="Times New Roman" w:hAnsi="Times New Roman"/>
          <w:sz w:val="24"/>
        </w:rPr>
        <w:t>shodi i izdaci za</w:t>
      </w:r>
      <w:r w:rsidR="00964B07"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godin</w:t>
      </w:r>
      <w:r w:rsidR="00963C25">
        <w:rPr>
          <w:rFonts w:ascii="Times New Roman" w:hAnsi="Times New Roman"/>
          <w:sz w:val="24"/>
        </w:rPr>
        <w:t>u planirani</w:t>
      </w:r>
      <w:r w:rsidR="00501C7C" w:rsidRPr="002C6A84">
        <w:rPr>
          <w:rFonts w:ascii="Times New Roman" w:hAnsi="Times New Roman"/>
          <w:sz w:val="24"/>
        </w:rPr>
        <w:t xml:space="preserve"> su u iznosu od </w:t>
      </w:r>
      <w:r w:rsidR="009709D8">
        <w:rPr>
          <w:rFonts w:ascii="Times New Roman" w:hAnsi="Times New Roman"/>
          <w:sz w:val="24"/>
        </w:rPr>
        <w:t>1.</w:t>
      </w:r>
      <w:r w:rsidR="00576C8E">
        <w:rPr>
          <w:rFonts w:ascii="Times New Roman" w:hAnsi="Times New Roman"/>
          <w:sz w:val="24"/>
        </w:rPr>
        <w:t>832.357</w:t>
      </w:r>
      <w:r w:rsidR="00963C25">
        <w:rPr>
          <w:rFonts w:ascii="Times New Roman" w:hAnsi="Times New Roman"/>
          <w:sz w:val="24"/>
        </w:rPr>
        <w:t>,00</w:t>
      </w:r>
      <w:r w:rsidR="00501C7C" w:rsidRPr="002C6A84">
        <w:rPr>
          <w:rFonts w:ascii="Times New Roman" w:hAnsi="Times New Roman"/>
          <w:sz w:val="24"/>
        </w:rPr>
        <w:t xml:space="preserve"> eura od toga za rashod</w:t>
      </w:r>
      <w:r w:rsidR="007F74E8" w:rsidRPr="002C6A84">
        <w:rPr>
          <w:rFonts w:ascii="Times New Roman" w:hAnsi="Times New Roman"/>
          <w:sz w:val="24"/>
        </w:rPr>
        <w:t xml:space="preserve">e poslovanja u iznosu od </w:t>
      </w:r>
      <w:r w:rsidR="00576C8E">
        <w:rPr>
          <w:rFonts w:ascii="Times New Roman" w:hAnsi="Times New Roman"/>
          <w:sz w:val="24"/>
        </w:rPr>
        <w:t>1.622.459</w:t>
      </w:r>
      <w:r w:rsidR="00963C25">
        <w:rPr>
          <w:rFonts w:ascii="Times New Roman" w:hAnsi="Times New Roman"/>
          <w:sz w:val="24"/>
        </w:rPr>
        <w:t>,00</w:t>
      </w:r>
      <w:r w:rsidR="00501C7C" w:rsidRPr="002C6A84">
        <w:rPr>
          <w:rFonts w:ascii="Times New Roman" w:hAnsi="Times New Roman"/>
          <w:sz w:val="24"/>
        </w:rPr>
        <w:t xml:space="preserve"> eura</w:t>
      </w:r>
      <w:r w:rsidR="00FD7A68">
        <w:rPr>
          <w:rFonts w:ascii="Times New Roman" w:hAnsi="Times New Roman"/>
          <w:sz w:val="24"/>
        </w:rPr>
        <w:t>,</w:t>
      </w:r>
      <w:r w:rsidR="00501C7C" w:rsidRPr="002C6A84">
        <w:rPr>
          <w:rFonts w:ascii="Times New Roman" w:hAnsi="Times New Roman"/>
          <w:sz w:val="24"/>
        </w:rPr>
        <w:t xml:space="preserve"> za </w:t>
      </w:r>
      <w:r w:rsidR="00683840" w:rsidRPr="002C6A84">
        <w:rPr>
          <w:rFonts w:ascii="Times New Roman" w:hAnsi="Times New Roman"/>
          <w:sz w:val="24"/>
        </w:rPr>
        <w:t>zakupnine i najamnine</w:t>
      </w:r>
      <w:r w:rsidR="00501C7C" w:rsidRPr="002C6A84">
        <w:rPr>
          <w:rFonts w:ascii="Times New Roman" w:hAnsi="Times New Roman"/>
          <w:sz w:val="24"/>
        </w:rPr>
        <w:t xml:space="preserve"> iz vlastitih prihoda </w:t>
      </w:r>
      <w:r w:rsidR="00963C25">
        <w:rPr>
          <w:rFonts w:ascii="Times New Roman" w:hAnsi="Times New Roman"/>
          <w:sz w:val="24"/>
        </w:rPr>
        <w:t>u iznosu od 478,00</w:t>
      </w:r>
      <w:r w:rsidR="00FD7A68">
        <w:rPr>
          <w:rFonts w:ascii="Times New Roman" w:hAnsi="Times New Roman"/>
          <w:sz w:val="24"/>
        </w:rPr>
        <w:t xml:space="preserve"> eura te rashode za nabavu nefinanc</w:t>
      </w:r>
      <w:r w:rsidR="00576C8E">
        <w:rPr>
          <w:rFonts w:ascii="Times New Roman" w:hAnsi="Times New Roman"/>
          <w:sz w:val="24"/>
        </w:rPr>
        <w:t>ijske imovine u iznosu od 209</w:t>
      </w:r>
      <w:r w:rsidR="008164A9">
        <w:rPr>
          <w:rFonts w:ascii="Times New Roman" w:hAnsi="Times New Roman"/>
          <w:sz w:val="24"/>
        </w:rPr>
        <w:t>.</w:t>
      </w:r>
      <w:r w:rsidR="00576C8E">
        <w:rPr>
          <w:rFonts w:ascii="Times New Roman" w:hAnsi="Times New Roman"/>
          <w:sz w:val="24"/>
        </w:rPr>
        <w:t>42</w:t>
      </w:r>
      <w:r w:rsidR="00FD7A68">
        <w:rPr>
          <w:rFonts w:ascii="Times New Roman" w:hAnsi="Times New Roman"/>
          <w:sz w:val="24"/>
        </w:rPr>
        <w:t>0,00 eura.</w:t>
      </w:r>
    </w:p>
    <w:p w:rsidR="00105B64" w:rsidRPr="002C6A84" w:rsidRDefault="00105B64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:rsidR="001449D7" w:rsidRDefault="00501C7C" w:rsidP="00CD5BCF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 w:rsidRPr="002C6A84">
        <w:rPr>
          <w:rFonts w:ascii="Times New Roman" w:hAnsi="Times New Roman"/>
          <w:sz w:val="24"/>
        </w:rPr>
        <w:t xml:space="preserve">Najveći izdaci su </w:t>
      </w:r>
      <w:r w:rsidR="000D572F">
        <w:rPr>
          <w:rFonts w:ascii="Times New Roman" w:hAnsi="Times New Roman"/>
          <w:sz w:val="24"/>
        </w:rPr>
        <w:t>rashodi</w:t>
      </w:r>
      <w:r w:rsidRPr="002C6A84">
        <w:rPr>
          <w:rFonts w:ascii="Times New Roman" w:hAnsi="Times New Roman"/>
          <w:sz w:val="24"/>
        </w:rPr>
        <w:t xml:space="preserve"> za zaposlene</w:t>
      </w:r>
      <w:r w:rsidR="00931334" w:rsidRPr="002C6A84">
        <w:rPr>
          <w:rFonts w:ascii="Times New Roman" w:hAnsi="Times New Roman"/>
          <w:sz w:val="24"/>
        </w:rPr>
        <w:t xml:space="preserve"> u iznosu od</w:t>
      </w:r>
      <w:r w:rsidRPr="002C6A84">
        <w:rPr>
          <w:rFonts w:ascii="Times New Roman" w:hAnsi="Times New Roman"/>
          <w:sz w:val="24"/>
        </w:rPr>
        <w:t xml:space="preserve"> </w:t>
      </w:r>
      <w:r w:rsidR="00576C8E">
        <w:rPr>
          <w:rFonts w:ascii="Times New Roman" w:hAnsi="Times New Roman"/>
          <w:sz w:val="24"/>
        </w:rPr>
        <w:t>1.321.983</w:t>
      </w:r>
      <w:r w:rsidR="000D572F">
        <w:rPr>
          <w:rFonts w:ascii="Times New Roman" w:hAnsi="Times New Roman"/>
          <w:sz w:val="24"/>
        </w:rPr>
        <w:t>,00</w:t>
      </w:r>
      <w:r w:rsidRPr="002C6A84">
        <w:rPr>
          <w:rFonts w:ascii="Times New Roman" w:hAnsi="Times New Roman"/>
          <w:sz w:val="24"/>
        </w:rPr>
        <w:t xml:space="preserve"> eura</w:t>
      </w:r>
      <w:r w:rsidR="00057381">
        <w:rPr>
          <w:rFonts w:ascii="Times New Roman" w:hAnsi="Times New Roman"/>
          <w:sz w:val="24"/>
        </w:rPr>
        <w:t xml:space="preserve">, od čega </w:t>
      </w:r>
      <w:r w:rsidR="00BA5DA4">
        <w:rPr>
          <w:rFonts w:ascii="Times New Roman" w:hAnsi="Times New Roman"/>
          <w:sz w:val="24"/>
        </w:rPr>
        <w:t xml:space="preserve">je </w:t>
      </w:r>
      <w:r w:rsidR="00EA3F7A">
        <w:rPr>
          <w:rFonts w:ascii="Times New Roman" w:hAnsi="Times New Roman"/>
          <w:sz w:val="24"/>
        </w:rPr>
        <w:t>1.311.258</w:t>
      </w:r>
      <w:r w:rsidR="00057381">
        <w:rPr>
          <w:rFonts w:ascii="Times New Roman" w:hAnsi="Times New Roman"/>
          <w:sz w:val="24"/>
        </w:rPr>
        <w:t xml:space="preserve">,00 eura </w:t>
      </w:r>
      <w:r w:rsidR="00BA5DA4">
        <w:rPr>
          <w:rFonts w:ascii="Times New Roman" w:hAnsi="Times New Roman"/>
          <w:sz w:val="24"/>
        </w:rPr>
        <w:t>planirano</w:t>
      </w:r>
      <w:r w:rsidR="000D572F">
        <w:rPr>
          <w:rFonts w:ascii="Times New Roman" w:hAnsi="Times New Roman"/>
          <w:sz w:val="24"/>
        </w:rPr>
        <w:t xml:space="preserve"> za bruto plaće i doprinose na plaće</w:t>
      </w:r>
      <w:r w:rsidR="00F16E75">
        <w:rPr>
          <w:rFonts w:ascii="Times New Roman" w:hAnsi="Times New Roman"/>
          <w:sz w:val="24"/>
        </w:rPr>
        <w:t xml:space="preserve">, </w:t>
      </w:r>
      <w:r w:rsidR="00C52E5C">
        <w:rPr>
          <w:rFonts w:ascii="Times New Roman" w:hAnsi="Times New Roman"/>
          <w:sz w:val="24"/>
        </w:rPr>
        <w:t>prekovremeni rad</w:t>
      </w:r>
      <w:r w:rsidR="00F16E75">
        <w:rPr>
          <w:rFonts w:ascii="Times New Roman" w:hAnsi="Times New Roman"/>
          <w:sz w:val="24"/>
        </w:rPr>
        <w:t xml:space="preserve"> te naknade za aktivno i pasivno dežurstvo dužnosnika kao i naknade za pasivno dežurstvo službenika i namještenika</w:t>
      </w:r>
      <w:r w:rsidR="000D572F">
        <w:rPr>
          <w:rFonts w:ascii="Times New Roman" w:hAnsi="Times New Roman"/>
          <w:sz w:val="24"/>
        </w:rPr>
        <w:t xml:space="preserve"> na bazi plaće za rujan temel</w:t>
      </w:r>
      <w:r w:rsidR="00EA3F7A">
        <w:rPr>
          <w:rFonts w:ascii="Times New Roman" w:hAnsi="Times New Roman"/>
          <w:sz w:val="24"/>
        </w:rPr>
        <w:t>jem trenutnog broja zaposlenih 8 dužnosnika i 18</w:t>
      </w:r>
      <w:r w:rsidR="000D572F">
        <w:rPr>
          <w:rFonts w:ascii="Times New Roman" w:hAnsi="Times New Roman"/>
          <w:sz w:val="24"/>
        </w:rPr>
        <w:t xml:space="preserve"> zaposlenih službenika</w:t>
      </w:r>
      <w:r w:rsidR="00596534">
        <w:rPr>
          <w:rFonts w:ascii="Times New Roman" w:hAnsi="Times New Roman"/>
          <w:sz w:val="24"/>
        </w:rPr>
        <w:t xml:space="preserve"> i namještenika</w:t>
      </w:r>
      <w:r w:rsidR="000D572F">
        <w:rPr>
          <w:rFonts w:ascii="Times New Roman" w:hAnsi="Times New Roman"/>
          <w:sz w:val="24"/>
        </w:rPr>
        <w:t>, s time da je</w:t>
      </w:r>
      <w:r w:rsidRPr="002C6A84">
        <w:rPr>
          <w:rFonts w:ascii="Times New Roman" w:hAnsi="Times New Roman"/>
          <w:sz w:val="24"/>
        </w:rPr>
        <w:t xml:space="preserve"> uzeto u obzir novo zapošljavanje</w:t>
      </w:r>
      <w:r w:rsidR="001328CE">
        <w:rPr>
          <w:rFonts w:ascii="Times New Roman" w:hAnsi="Times New Roman"/>
          <w:sz w:val="24"/>
        </w:rPr>
        <w:t xml:space="preserve"> 1 zamjenika n</w:t>
      </w:r>
      <w:r w:rsidR="000D572F">
        <w:rPr>
          <w:rFonts w:ascii="Times New Roman" w:hAnsi="Times New Roman"/>
          <w:sz w:val="24"/>
        </w:rPr>
        <w:t>a K</w:t>
      </w:r>
      <w:r w:rsidR="001328CE">
        <w:rPr>
          <w:rFonts w:ascii="Times New Roman" w:hAnsi="Times New Roman"/>
          <w:sz w:val="24"/>
        </w:rPr>
        <w:t>aznenom</w:t>
      </w:r>
      <w:r w:rsidR="000D572F">
        <w:rPr>
          <w:rFonts w:ascii="Times New Roman" w:hAnsi="Times New Roman"/>
          <w:sz w:val="24"/>
        </w:rPr>
        <w:t xml:space="preserve"> odjel</w:t>
      </w:r>
      <w:r w:rsidR="001328CE">
        <w:rPr>
          <w:rFonts w:ascii="Times New Roman" w:hAnsi="Times New Roman"/>
          <w:sz w:val="24"/>
        </w:rPr>
        <w:t>u</w:t>
      </w:r>
      <w:r w:rsidR="00EA3F7A">
        <w:rPr>
          <w:rFonts w:ascii="Times New Roman" w:hAnsi="Times New Roman"/>
          <w:sz w:val="24"/>
        </w:rPr>
        <w:t xml:space="preserve">, </w:t>
      </w:r>
      <w:r w:rsidR="00BE6A07">
        <w:rPr>
          <w:rFonts w:ascii="Times New Roman" w:hAnsi="Times New Roman"/>
          <w:sz w:val="24"/>
        </w:rPr>
        <w:t xml:space="preserve"> koje</w:t>
      </w:r>
      <w:r w:rsidR="00596534">
        <w:rPr>
          <w:rFonts w:ascii="Times New Roman" w:hAnsi="Times New Roman"/>
          <w:sz w:val="24"/>
        </w:rPr>
        <w:t xml:space="preserve"> imenovanje je u ti</w:t>
      </w:r>
      <w:r w:rsidR="00BE6A07">
        <w:rPr>
          <w:rFonts w:ascii="Times New Roman" w:hAnsi="Times New Roman"/>
          <w:sz w:val="24"/>
        </w:rPr>
        <w:t>je</w:t>
      </w:r>
      <w:r w:rsidR="00596534">
        <w:rPr>
          <w:rFonts w:ascii="Times New Roman" w:hAnsi="Times New Roman"/>
          <w:sz w:val="24"/>
        </w:rPr>
        <w:t>ku, 1 zamjenika na Kaznenom odjelu za koje mjesto je objavljen oglas DOV-a</w:t>
      </w:r>
      <w:r w:rsidR="000D572F">
        <w:rPr>
          <w:rFonts w:ascii="Times New Roman" w:hAnsi="Times New Roman"/>
          <w:sz w:val="24"/>
        </w:rPr>
        <w:t xml:space="preserve"> </w:t>
      </w:r>
      <w:r w:rsidR="00EA3F7A">
        <w:rPr>
          <w:rFonts w:ascii="Times New Roman" w:hAnsi="Times New Roman"/>
          <w:sz w:val="24"/>
        </w:rPr>
        <w:t xml:space="preserve">te 1 </w:t>
      </w:r>
      <w:r w:rsidR="00BE6A07">
        <w:rPr>
          <w:rFonts w:ascii="Times New Roman" w:hAnsi="Times New Roman"/>
          <w:sz w:val="24"/>
        </w:rPr>
        <w:t>zamjenika na Građansko-upravnom odjelu</w:t>
      </w:r>
      <w:r w:rsidR="00EA3F7A">
        <w:rPr>
          <w:rFonts w:ascii="Times New Roman" w:hAnsi="Times New Roman"/>
          <w:sz w:val="24"/>
        </w:rPr>
        <w:t>, koje imenovanje je u tijeku</w:t>
      </w:r>
      <w:r w:rsidR="00BE6A07">
        <w:rPr>
          <w:rFonts w:ascii="Times New Roman" w:hAnsi="Times New Roman"/>
          <w:sz w:val="24"/>
        </w:rPr>
        <w:t xml:space="preserve"> </w:t>
      </w:r>
      <w:r w:rsidR="00EA3F7A">
        <w:rPr>
          <w:rFonts w:ascii="Times New Roman" w:hAnsi="Times New Roman"/>
          <w:sz w:val="24"/>
        </w:rPr>
        <w:t>(budući je</w:t>
      </w:r>
      <w:r w:rsidR="000D572F">
        <w:rPr>
          <w:rFonts w:ascii="Times New Roman" w:hAnsi="Times New Roman"/>
          <w:sz w:val="24"/>
        </w:rPr>
        <w:t xml:space="preserve"> od sistematiziranih </w:t>
      </w:r>
      <w:r w:rsidR="00BE6A07">
        <w:rPr>
          <w:rFonts w:ascii="Times New Roman" w:hAnsi="Times New Roman"/>
          <w:sz w:val="24"/>
        </w:rPr>
        <w:t xml:space="preserve">13 (ranije </w:t>
      </w:r>
      <w:r w:rsidR="000D572F">
        <w:rPr>
          <w:rFonts w:ascii="Times New Roman" w:hAnsi="Times New Roman"/>
          <w:sz w:val="24"/>
        </w:rPr>
        <w:t>9</w:t>
      </w:r>
      <w:r w:rsidR="00BE6A07">
        <w:rPr>
          <w:rFonts w:ascii="Times New Roman" w:hAnsi="Times New Roman"/>
          <w:sz w:val="24"/>
        </w:rPr>
        <w:t>)</w:t>
      </w:r>
      <w:r w:rsidR="000D572F">
        <w:rPr>
          <w:rFonts w:ascii="Times New Roman" w:hAnsi="Times New Roman"/>
          <w:sz w:val="24"/>
        </w:rPr>
        <w:t xml:space="preserve"> mjesta zamjenika, </w:t>
      </w:r>
      <w:r w:rsidR="00EA3F7A">
        <w:rPr>
          <w:rFonts w:ascii="Times New Roman" w:hAnsi="Times New Roman"/>
          <w:sz w:val="24"/>
        </w:rPr>
        <w:t>nepopunjeno</w:t>
      </w:r>
      <w:r w:rsidR="00596534">
        <w:rPr>
          <w:rFonts w:ascii="Times New Roman" w:hAnsi="Times New Roman"/>
          <w:sz w:val="24"/>
        </w:rPr>
        <w:t xml:space="preserve"> </w:t>
      </w:r>
      <w:r w:rsidR="00EA3F7A">
        <w:rPr>
          <w:rFonts w:ascii="Times New Roman" w:hAnsi="Times New Roman"/>
          <w:sz w:val="24"/>
        </w:rPr>
        <w:t>5 zamjeničkih</w:t>
      </w:r>
      <w:r w:rsidR="000D572F">
        <w:rPr>
          <w:rFonts w:ascii="Times New Roman" w:hAnsi="Times New Roman"/>
          <w:sz w:val="24"/>
        </w:rPr>
        <w:t xml:space="preserve"> mjesta na Kaznenom odjelu</w:t>
      </w:r>
      <w:r w:rsidR="00596534">
        <w:rPr>
          <w:rFonts w:ascii="Times New Roman" w:hAnsi="Times New Roman"/>
          <w:sz w:val="24"/>
        </w:rPr>
        <w:t xml:space="preserve"> i 1 nepopunjeno zamjeničko mjesto na Građansko-</w:t>
      </w:r>
      <w:r w:rsidR="00596534">
        <w:rPr>
          <w:rFonts w:ascii="Times New Roman" w:hAnsi="Times New Roman"/>
          <w:sz w:val="24"/>
        </w:rPr>
        <w:lastRenderedPageBreak/>
        <w:t>upravnom odjelu</w:t>
      </w:r>
      <w:r w:rsidR="00E17065">
        <w:rPr>
          <w:rFonts w:ascii="Times New Roman" w:hAnsi="Times New Roman"/>
          <w:sz w:val="24"/>
        </w:rPr>
        <w:t>) zbog povećanog obima posla kako na Kaznenom tako i Građansko-upravnom odjelu,</w:t>
      </w:r>
      <w:r w:rsidR="001328CE">
        <w:rPr>
          <w:rFonts w:ascii="Times New Roman" w:hAnsi="Times New Roman"/>
          <w:sz w:val="24"/>
        </w:rPr>
        <w:t xml:space="preserve"> te novo zapošljavanje</w:t>
      </w:r>
      <w:r w:rsidR="00EA3F7A">
        <w:rPr>
          <w:rFonts w:ascii="Times New Roman" w:hAnsi="Times New Roman"/>
          <w:sz w:val="24"/>
        </w:rPr>
        <w:t xml:space="preserve"> </w:t>
      </w:r>
      <w:r w:rsidR="00C2171C">
        <w:rPr>
          <w:rFonts w:ascii="Times New Roman" w:hAnsi="Times New Roman"/>
          <w:sz w:val="24"/>
        </w:rPr>
        <w:t>1 zamjenika u 2026. godine te po 1 zamjenik u 2027. i u 2028. godini.</w:t>
      </w:r>
      <w:r w:rsidR="00BC5491">
        <w:rPr>
          <w:rFonts w:ascii="Times New Roman" w:hAnsi="Times New Roman"/>
          <w:sz w:val="24"/>
        </w:rPr>
        <w:t xml:space="preserve"> Sukladno Planu zapošljavanja za 2025. godinu planirano je zapošljavanje </w:t>
      </w:r>
      <w:r w:rsidR="00EA3F7A">
        <w:rPr>
          <w:rFonts w:ascii="Times New Roman" w:hAnsi="Times New Roman"/>
          <w:sz w:val="24"/>
        </w:rPr>
        <w:t xml:space="preserve">2 </w:t>
      </w:r>
      <w:r w:rsidR="00522990">
        <w:rPr>
          <w:rFonts w:ascii="Times New Roman" w:hAnsi="Times New Roman"/>
          <w:sz w:val="24"/>
        </w:rPr>
        <w:t xml:space="preserve">nova </w:t>
      </w:r>
      <w:r w:rsidR="00EA3F7A">
        <w:rPr>
          <w:rFonts w:ascii="Times New Roman" w:hAnsi="Times New Roman"/>
          <w:sz w:val="24"/>
        </w:rPr>
        <w:t>službenika i 1 namještenika, od čega je postupak zapošljavanja namještena završeen, početa</w:t>
      </w:r>
      <w:r w:rsidR="00522990">
        <w:rPr>
          <w:rFonts w:ascii="Times New Roman" w:hAnsi="Times New Roman"/>
          <w:sz w:val="24"/>
        </w:rPr>
        <w:t xml:space="preserve">k rada s 1.10.2025., dok je u tijeku postupak zapošljavnja </w:t>
      </w:r>
      <w:r w:rsidR="00E17065">
        <w:rPr>
          <w:rFonts w:ascii="Times New Roman" w:hAnsi="Times New Roman"/>
          <w:sz w:val="24"/>
        </w:rPr>
        <w:t>1 zapisničara u državnom odvjetništvu</w:t>
      </w:r>
      <w:r w:rsidR="00522990">
        <w:rPr>
          <w:rFonts w:ascii="Times New Roman" w:hAnsi="Times New Roman"/>
          <w:sz w:val="24"/>
        </w:rPr>
        <w:t>, 1 državnoodvjetničkog savjetnika te ujedno 1 državnoodvjetničkog vježbenika (koji postupak provodi nadležno Ministarstvo), dok je za popunu upražnjenog radnog mjesta jednog državnoodvjetničkog savjetnika zatražano odobrenje Ministarstva pravosuđa, uprave i digitalne transformacije prema odredbi članka 59. stavak 4. Zakona o državnim službenicima ("Narodne novine" broj 155/23. i 85/24.)</w:t>
      </w:r>
      <w:r w:rsidR="00BC5491">
        <w:rPr>
          <w:rFonts w:ascii="Times New Roman" w:hAnsi="Times New Roman"/>
          <w:sz w:val="24"/>
        </w:rPr>
        <w:t>, čime bi</w:t>
      </w:r>
      <w:r w:rsidR="00C2171C">
        <w:rPr>
          <w:rFonts w:ascii="Times New Roman" w:hAnsi="Times New Roman"/>
          <w:sz w:val="24"/>
        </w:rPr>
        <w:t xml:space="preserve"> broj zaposlenih službenika i namještenika</w:t>
      </w:r>
      <w:r w:rsidR="00BC5491">
        <w:rPr>
          <w:rFonts w:ascii="Times New Roman" w:hAnsi="Times New Roman"/>
          <w:sz w:val="24"/>
        </w:rPr>
        <w:t xml:space="preserve"> s 31.12.2025. </w:t>
      </w:r>
      <w:r w:rsidR="00C2171C">
        <w:rPr>
          <w:rFonts w:ascii="Times New Roman" w:hAnsi="Times New Roman"/>
          <w:sz w:val="24"/>
        </w:rPr>
        <w:t>23</w:t>
      </w:r>
      <w:r w:rsidR="00BC5491">
        <w:rPr>
          <w:rFonts w:ascii="Times New Roman" w:hAnsi="Times New Roman"/>
          <w:sz w:val="24"/>
        </w:rPr>
        <w:t>. Tijekom 2026. planirano je zapošljavanje</w:t>
      </w:r>
      <w:r w:rsidR="00522990">
        <w:rPr>
          <w:rFonts w:ascii="Times New Roman" w:hAnsi="Times New Roman"/>
          <w:sz w:val="24"/>
        </w:rPr>
        <w:t xml:space="preserve"> </w:t>
      </w:r>
      <w:r w:rsidR="00173722">
        <w:rPr>
          <w:rFonts w:ascii="Times New Roman" w:hAnsi="Times New Roman"/>
          <w:sz w:val="24"/>
        </w:rPr>
        <w:t>još 3 izvršitelja na službeničkim radnim mjestima</w:t>
      </w:r>
      <w:r w:rsidR="00E17065">
        <w:rPr>
          <w:rFonts w:ascii="Times New Roman" w:hAnsi="Times New Roman"/>
          <w:sz w:val="24"/>
        </w:rPr>
        <w:t xml:space="preserve">, </w:t>
      </w:r>
      <w:r w:rsidR="00666C2F">
        <w:rPr>
          <w:rFonts w:ascii="Times New Roman" w:hAnsi="Times New Roman"/>
          <w:sz w:val="24"/>
        </w:rPr>
        <w:t xml:space="preserve">1 </w:t>
      </w:r>
      <w:r w:rsidR="00173722">
        <w:rPr>
          <w:rFonts w:ascii="Times New Roman" w:hAnsi="Times New Roman"/>
          <w:sz w:val="24"/>
        </w:rPr>
        <w:t xml:space="preserve">savjetnik za obavljanje stručnih poslova u Uredu državnog odvjetnika, 1 referent za obavljanje uredskih poslova i poslova arhive i 1 zapisničar u državnom odvjetništvu za potrebe Kaznenog </w:t>
      </w:r>
      <w:r w:rsidR="00C2171C">
        <w:rPr>
          <w:rFonts w:ascii="Times New Roman" w:hAnsi="Times New Roman"/>
          <w:sz w:val="24"/>
        </w:rPr>
        <w:t>odjela</w:t>
      </w:r>
      <w:r w:rsidR="00E17065">
        <w:rPr>
          <w:rFonts w:ascii="Times New Roman" w:hAnsi="Times New Roman"/>
          <w:sz w:val="24"/>
        </w:rPr>
        <w:t xml:space="preserve">, </w:t>
      </w:r>
      <w:r w:rsidR="00173722">
        <w:rPr>
          <w:rFonts w:ascii="Times New Roman" w:hAnsi="Times New Roman"/>
          <w:sz w:val="24"/>
        </w:rPr>
        <w:t>kako bi se osiguralo redovno obavljanje poslova</w:t>
      </w:r>
      <w:r w:rsidR="00C2171C">
        <w:rPr>
          <w:rFonts w:ascii="Times New Roman" w:hAnsi="Times New Roman"/>
          <w:sz w:val="24"/>
        </w:rPr>
        <w:t xml:space="preserve"> u ovom državnom odvjetništvu, budući je veći broj sistematiziranih radnih mjesta Pravilnikom o unutarnjem redu još uvijek nepopunjen. Također je planirano novo zapošljavanje još 3 sistematizirana nepopunjena radna mjesta tijekom 2027. godine, 3 službenika (1 DO savjetnik</w:t>
      </w:r>
      <w:r w:rsidR="001449D7">
        <w:rPr>
          <w:rFonts w:ascii="Times New Roman" w:hAnsi="Times New Roman"/>
          <w:sz w:val="24"/>
        </w:rPr>
        <w:t xml:space="preserve">, </w:t>
      </w:r>
      <w:r w:rsidR="00666C2F">
        <w:rPr>
          <w:rFonts w:ascii="Times New Roman" w:hAnsi="Times New Roman"/>
          <w:sz w:val="24"/>
        </w:rPr>
        <w:t>koje radno mjesto se planira popuniti kada državnoodvjetnički savjetnik polo</w:t>
      </w:r>
      <w:r w:rsidR="00C2171C">
        <w:rPr>
          <w:rFonts w:ascii="Times New Roman" w:hAnsi="Times New Roman"/>
          <w:sz w:val="24"/>
        </w:rPr>
        <w:t>ži pravosudni ispit</w:t>
      </w:r>
      <w:r w:rsidR="00666C2F">
        <w:rPr>
          <w:rFonts w:ascii="Times New Roman" w:hAnsi="Times New Roman"/>
          <w:sz w:val="24"/>
        </w:rPr>
        <w:t>,</w:t>
      </w:r>
      <w:r w:rsidR="001449D7">
        <w:rPr>
          <w:rFonts w:ascii="Times New Roman" w:hAnsi="Times New Roman"/>
          <w:sz w:val="24"/>
        </w:rPr>
        <w:t xml:space="preserve"> i 2 zapisničara za potrebe Kaznenog odjela) i u 2028. godini 2 službenička radna mjesta (1 informatički tehničar, radi svakodvne informatičke podrške u radu s informatičkom opremom te 1 zapisničar u državnom odvjetništvu, čime bi se osigurao rad zamjenika u referadi sa zapisničrem)</w:t>
      </w:r>
      <w:r w:rsidR="00CD5BCF">
        <w:rPr>
          <w:rFonts w:ascii="Times New Roman" w:hAnsi="Times New Roman"/>
          <w:sz w:val="24"/>
        </w:rPr>
        <w:t>.</w:t>
      </w:r>
      <w:r w:rsidR="00057381">
        <w:rPr>
          <w:rFonts w:ascii="Times New Roman" w:hAnsi="Times New Roman"/>
          <w:sz w:val="24"/>
        </w:rPr>
        <w:t xml:space="preserve"> </w:t>
      </w:r>
    </w:p>
    <w:p w:rsidR="00CD5BCF" w:rsidRDefault="003B0726" w:rsidP="00CD5BCF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Potrebno je </w:t>
      </w:r>
      <w:r w:rsidR="0023761B">
        <w:rPr>
          <w:rFonts w:ascii="Times New Roman" w:hAnsi="Times New Roman"/>
          <w:sz w:val="24"/>
        </w:rPr>
        <w:t>napomenuti</w:t>
      </w:r>
      <w:r>
        <w:rPr>
          <w:rFonts w:ascii="Times New Roman" w:hAnsi="Times New Roman"/>
          <w:sz w:val="24"/>
        </w:rPr>
        <w:t xml:space="preserve"> da su sredstva planirana sukladno zadanom limitu nadležnog Ministarstva, no s obzirom na </w:t>
      </w:r>
      <w:r w:rsidR="0023761B">
        <w:rPr>
          <w:rFonts w:ascii="Times New Roman" w:hAnsi="Times New Roman"/>
          <w:sz w:val="24"/>
        </w:rPr>
        <w:t>planirano</w:t>
      </w:r>
      <w:r>
        <w:rPr>
          <w:rFonts w:ascii="Times New Roman" w:hAnsi="Times New Roman"/>
          <w:sz w:val="24"/>
        </w:rPr>
        <w:t xml:space="preserve"> povećanje plaća i naknada </w:t>
      </w:r>
      <w:r w:rsidR="00C530F9">
        <w:rPr>
          <w:rFonts w:ascii="Times New Roman" w:hAnsi="Times New Roman"/>
          <w:sz w:val="24"/>
        </w:rPr>
        <w:t xml:space="preserve">za dežurstva, </w:t>
      </w:r>
      <w:r>
        <w:rPr>
          <w:rFonts w:ascii="Times New Roman" w:hAnsi="Times New Roman"/>
          <w:sz w:val="24"/>
        </w:rPr>
        <w:t>kako dužnosnika tako i službenika</w:t>
      </w:r>
      <w:r w:rsidR="0023761B">
        <w:rPr>
          <w:rFonts w:ascii="Times New Roman" w:hAnsi="Times New Roman"/>
          <w:sz w:val="24"/>
        </w:rPr>
        <w:t xml:space="preserve"> planirana sredstva </w:t>
      </w:r>
      <w:r>
        <w:rPr>
          <w:rFonts w:ascii="Times New Roman" w:hAnsi="Times New Roman"/>
          <w:sz w:val="24"/>
        </w:rPr>
        <w:t xml:space="preserve">će </w:t>
      </w:r>
      <w:r w:rsidR="0023761B">
        <w:rPr>
          <w:rFonts w:ascii="Times New Roman" w:hAnsi="Times New Roman"/>
          <w:sz w:val="24"/>
        </w:rPr>
        <w:t>se po potrebi</w:t>
      </w:r>
      <w:r>
        <w:rPr>
          <w:rFonts w:ascii="Times New Roman" w:hAnsi="Times New Roman"/>
          <w:sz w:val="24"/>
        </w:rPr>
        <w:t xml:space="preserve"> tijekom planiranog razdoblja korigirati. </w:t>
      </w:r>
      <w:r w:rsidR="005F24D1">
        <w:rPr>
          <w:rFonts w:ascii="Times New Roman" w:hAnsi="Times New Roman"/>
          <w:sz w:val="24"/>
        </w:rPr>
        <w:t>Ujedno su planirana sredstva</w:t>
      </w:r>
      <w:r w:rsidR="00057381">
        <w:rPr>
          <w:rFonts w:ascii="Times New Roman" w:hAnsi="Times New Roman"/>
          <w:sz w:val="24"/>
        </w:rPr>
        <w:t xml:space="preserve"> </w:t>
      </w:r>
      <w:r w:rsidR="005F24D1">
        <w:rPr>
          <w:rFonts w:ascii="Times New Roman" w:hAnsi="Times New Roman"/>
          <w:sz w:val="24"/>
        </w:rPr>
        <w:t>za doprinose</w:t>
      </w:r>
      <w:r w:rsidR="00057381">
        <w:rPr>
          <w:rFonts w:ascii="Times New Roman" w:hAnsi="Times New Roman"/>
          <w:sz w:val="24"/>
        </w:rPr>
        <w:t xml:space="preserve"> za mirovinsko osiguranje za staž osiguranja s povećanim trajanjem za pravosudne dužnosnike</w:t>
      </w:r>
      <w:r w:rsidR="005F24D1">
        <w:rPr>
          <w:rFonts w:ascii="Times New Roman" w:hAnsi="Times New Roman"/>
          <w:sz w:val="24"/>
        </w:rPr>
        <w:t xml:space="preserve"> koji su radili na poslovima istrage u razdoblju od 1. rujna 2011. do 1. rujna 2018., a kako bi se u narednom razdoblju izvršavala rješenjem utvrđena obveza po pojedinom dužnosniku. </w:t>
      </w:r>
    </w:p>
    <w:p w:rsidR="00173722" w:rsidRDefault="00173722" w:rsidP="00CD5BCF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:rsidR="00E517E3" w:rsidRDefault="00057381" w:rsidP="00CD5BCF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Ostali rashodi za zaposlene planirani su </w:t>
      </w:r>
      <w:r w:rsidR="00C52E5C">
        <w:rPr>
          <w:rFonts w:ascii="Times New Roman" w:hAnsi="Times New Roman"/>
          <w:sz w:val="24"/>
        </w:rPr>
        <w:t xml:space="preserve">u iznosu od </w:t>
      </w:r>
      <w:r w:rsidR="00760DE6">
        <w:rPr>
          <w:rFonts w:ascii="Times New Roman" w:hAnsi="Times New Roman"/>
          <w:sz w:val="24"/>
        </w:rPr>
        <w:t>35.934</w:t>
      </w:r>
      <w:bookmarkStart w:id="0" w:name="_GoBack"/>
      <w:bookmarkEnd w:id="0"/>
      <w:r w:rsidR="00C52E5C">
        <w:rPr>
          <w:rFonts w:ascii="Times New Roman" w:hAnsi="Times New Roman"/>
          <w:sz w:val="24"/>
        </w:rPr>
        <w:t xml:space="preserve">,00 eura </w:t>
      </w:r>
      <w:r w:rsidR="005F24D1">
        <w:rPr>
          <w:rFonts w:ascii="Times New Roman" w:hAnsi="Times New Roman"/>
          <w:sz w:val="24"/>
        </w:rPr>
        <w:t>temeljem trenutno ugovorenih prava po KU</w:t>
      </w:r>
      <w:r w:rsidR="00576C8E">
        <w:rPr>
          <w:rFonts w:ascii="Times New Roman" w:hAnsi="Times New Roman"/>
          <w:sz w:val="24"/>
        </w:rPr>
        <w:t xml:space="preserve"> (</w:t>
      </w:r>
      <w:r w:rsidR="00603395">
        <w:rPr>
          <w:rFonts w:ascii="Times New Roman" w:hAnsi="Times New Roman"/>
          <w:sz w:val="24"/>
        </w:rPr>
        <w:t>jubilarne nagrade</w:t>
      </w:r>
      <w:r w:rsidR="00576C8E">
        <w:rPr>
          <w:rFonts w:ascii="Times New Roman" w:hAnsi="Times New Roman"/>
          <w:sz w:val="24"/>
        </w:rPr>
        <w:t xml:space="preserve"> 5</w:t>
      </w:r>
      <w:r w:rsidR="00603395">
        <w:rPr>
          <w:rFonts w:ascii="Times New Roman" w:hAnsi="Times New Roman"/>
          <w:sz w:val="24"/>
        </w:rPr>
        <w:t>,</w:t>
      </w:r>
      <w:r w:rsidR="00576C8E">
        <w:rPr>
          <w:rFonts w:ascii="Times New Roman" w:hAnsi="Times New Roman"/>
          <w:sz w:val="24"/>
        </w:rPr>
        <w:t xml:space="preserve"> uskrsnica,</w:t>
      </w:r>
      <w:r w:rsidR="00603395">
        <w:rPr>
          <w:rFonts w:ascii="Times New Roman" w:hAnsi="Times New Roman"/>
          <w:sz w:val="24"/>
        </w:rPr>
        <w:t xml:space="preserve"> regres, božićnica, darovi, pomoći i otpremnina).</w:t>
      </w:r>
    </w:p>
    <w:p w:rsidR="00603395" w:rsidRPr="002C6A84" w:rsidRDefault="00603395" w:rsidP="00CD5BCF">
      <w:pPr>
        <w:tabs>
          <w:tab w:val="left" w:pos="1764"/>
        </w:tabs>
        <w:jc w:val="both"/>
        <w:rPr>
          <w:rFonts w:ascii="Times New Roman" w:hAnsi="Times New Roman"/>
          <w:noProof w:val="0"/>
          <w:sz w:val="24"/>
        </w:rPr>
      </w:pPr>
    </w:p>
    <w:p w:rsidR="00036D0C" w:rsidRPr="002C6A84" w:rsidRDefault="00931334" w:rsidP="00036D0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2C6A84">
        <w:rPr>
          <w:rFonts w:ascii="Times New Roman" w:hAnsi="Times New Roman"/>
          <w:sz w:val="24"/>
        </w:rPr>
        <w:t>Materijalni</w:t>
      </w:r>
      <w:r w:rsidR="00FE1210">
        <w:rPr>
          <w:rFonts w:ascii="Times New Roman" w:hAnsi="Times New Roman"/>
          <w:sz w:val="24"/>
        </w:rPr>
        <w:t xml:space="preserve"> i financijski</w:t>
      </w:r>
      <w:r w:rsidRPr="002C6A84">
        <w:rPr>
          <w:rFonts w:ascii="Times New Roman" w:hAnsi="Times New Roman"/>
          <w:sz w:val="24"/>
        </w:rPr>
        <w:t xml:space="preserve"> rashodi </w:t>
      </w:r>
      <w:r w:rsidR="00BE4241">
        <w:rPr>
          <w:rFonts w:ascii="Times New Roman" w:hAnsi="Times New Roman"/>
          <w:sz w:val="24"/>
        </w:rPr>
        <w:t>(3</w:t>
      </w:r>
      <w:r w:rsidRPr="002C6A84">
        <w:rPr>
          <w:rFonts w:ascii="Times New Roman" w:hAnsi="Times New Roman"/>
          <w:sz w:val="24"/>
        </w:rPr>
        <w:t>2, 34) za</w:t>
      </w:r>
      <w:r w:rsidR="001449D7">
        <w:rPr>
          <w:rFonts w:ascii="Times New Roman" w:hAnsi="Times New Roman"/>
          <w:sz w:val="24"/>
        </w:rPr>
        <w:t xml:space="preserve"> 2026</w:t>
      </w:r>
      <w:r w:rsidRPr="002C6A84">
        <w:rPr>
          <w:rFonts w:ascii="Times New Roman" w:hAnsi="Times New Roman"/>
          <w:sz w:val="24"/>
        </w:rPr>
        <w:t>. godinu planirani su u iznosu od</w:t>
      </w:r>
      <w:r w:rsidR="00036D0C" w:rsidRPr="002C6A84">
        <w:rPr>
          <w:rFonts w:ascii="Times New Roman" w:hAnsi="Times New Roman"/>
          <w:sz w:val="24"/>
        </w:rPr>
        <w:t xml:space="preserve"> </w:t>
      </w:r>
      <w:r w:rsidR="001449D7">
        <w:rPr>
          <w:rFonts w:ascii="Times New Roman" w:hAnsi="Times New Roman"/>
          <w:sz w:val="24"/>
        </w:rPr>
        <w:t>300.476</w:t>
      </w:r>
      <w:r w:rsidR="00F16E75">
        <w:rPr>
          <w:rFonts w:ascii="Times New Roman" w:hAnsi="Times New Roman"/>
          <w:sz w:val="24"/>
        </w:rPr>
        <w:t>,00</w:t>
      </w:r>
      <w:r w:rsidR="00036D0C" w:rsidRPr="002C6A84">
        <w:rPr>
          <w:rFonts w:ascii="Times New Roman" w:hAnsi="Times New Roman"/>
          <w:sz w:val="24"/>
        </w:rPr>
        <w:t xml:space="preserve"> eura, od čega su</w:t>
      </w:r>
      <w:r w:rsidRPr="002C6A84">
        <w:rPr>
          <w:rFonts w:ascii="Times New Roman" w:hAnsi="Times New Roman"/>
          <w:sz w:val="24"/>
        </w:rPr>
        <w:t xml:space="preserve"> </w:t>
      </w:r>
      <w:r w:rsidR="00E517E3" w:rsidRPr="002C6A84">
        <w:rPr>
          <w:rFonts w:ascii="Times New Roman" w:hAnsi="Times New Roman"/>
          <w:sz w:val="24"/>
        </w:rPr>
        <w:t>Intelektualne</w:t>
      </w:r>
      <w:r w:rsidR="00036D0C" w:rsidRPr="002C6A84">
        <w:rPr>
          <w:rFonts w:ascii="Times New Roman" w:hAnsi="Times New Roman"/>
          <w:sz w:val="24"/>
        </w:rPr>
        <w:t xml:space="preserve"> i osobne</w:t>
      </w:r>
      <w:r w:rsidR="00E517E3" w:rsidRPr="002C6A84">
        <w:rPr>
          <w:rFonts w:ascii="Times New Roman" w:hAnsi="Times New Roman"/>
          <w:sz w:val="24"/>
        </w:rPr>
        <w:t xml:space="preserve"> usluge jedan od većih rashoda </w:t>
      </w:r>
      <w:r w:rsidR="00F16E75">
        <w:rPr>
          <w:rFonts w:ascii="Times New Roman" w:hAnsi="Times New Roman"/>
          <w:sz w:val="24"/>
        </w:rPr>
        <w:t>koje čine troškovi kaznenog postupka</w:t>
      </w:r>
      <w:r w:rsidR="00E517E3" w:rsidRPr="002C6A84">
        <w:rPr>
          <w:rFonts w:ascii="Times New Roman" w:hAnsi="Times New Roman"/>
          <w:sz w:val="24"/>
        </w:rPr>
        <w:t xml:space="preserve"> te </w:t>
      </w:r>
      <w:r w:rsidR="001449D7">
        <w:rPr>
          <w:rFonts w:ascii="Times New Roman" w:hAnsi="Times New Roman"/>
          <w:sz w:val="24"/>
        </w:rPr>
        <w:t>su za 2026</w:t>
      </w:r>
      <w:r w:rsidR="00C139F8" w:rsidRPr="002C6A84">
        <w:rPr>
          <w:rFonts w:ascii="Times New Roman" w:hAnsi="Times New Roman"/>
          <w:sz w:val="24"/>
        </w:rPr>
        <w:t>. godinu planirani</w:t>
      </w:r>
      <w:r w:rsidR="00036D0C" w:rsidRPr="002C6A84">
        <w:rPr>
          <w:rFonts w:ascii="Times New Roman" w:hAnsi="Times New Roman"/>
          <w:sz w:val="24"/>
        </w:rPr>
        <w:t xml:space="preserve"> u iznosu od </w:t>
      </w:r>
      <w:r w:rsidR="001449D7">
        <w:rPr>
          <w:rFonts w:ascii="Times New Roman" w:hAnsi="Times New Roman"/>
          <w:sz w:val="24"/>
        </w:rPr>
        <w:t>16</w:t>
      </w:r>
      <w:r w:rsidR="00F16E75">
        <w:rPr>
          <w:rFonts w:ascii="Times New Roman" w:hAnsi="Times New Roman"/>
          <w:sz w:val="24"/>
        </w:rPr>
        <w:t>0.000,00</w:t>
      </w:r>
      <w:r w:rsidR="00036D0C" w:rsidRPr="002C6A84">
        <w:rPr>
          <w:rFonts w:ascii="Times New Roman" w:hAnsi="Times New Roman"/>
          <w:sz w:val="24"/>
        </w:rPr>
        <w:t xml:space="preserve"> eura, </w:t>
      </w:r>
      <w:r w:rsidR="002B26EE">
        <w:rPr>
          <w:rFonts w:ascii="Times New Roman" w:hAnsi="Times New Roman"/>
          <w:sz w:val="24"/>
        </w:rPr>
        <w:t>koja će tijekom planiranog razdoblja</w:t>
      </w:r>
      <w:r w:rsidR="00036D0C" w:rsidRPr="002C6A84">
        <w:rPr>
          <w:rFonts w:ascii="Times New Roman" w:hAnsi="Times New Roman"/>
          <w:sz w:val="24"/>
        </w:rPr>
        <w:t xml:space="preserve">a </w:t>
      </w:r>
      <w:r w:rsidR="002B26EE">
        <w:rPr>
          <w:rFonts w:ascii="Times New Roman" w:hAnsi="Times New Roman"/>
          <w:sz w:val="24"/>
        </w:rPr>
        <w:t xml:space="preserve">biti potrebno i korigirati </w:t>
      </w:r>
      <w:r w:rsidR="00036D0C" w:rsidRPr="002C6A84">
        <w:rPr>
          <w:rFonts w:ascii="Times New Roman" w:hAnsi="Times New Roman"/>
          <w:sz w:val="24"/>
        </w:rPr>
        <w:t xml:space="preserve">s obzirom na </w:t>
      </w:r>
      <w:r w:rsidR="002B26EE">
        <w:rPr>
          <w:rFonts w:ascii="Times New Roman" w:hAnsi="Times New Roman"/>
          <w:sz w:val="24"/>
        </w:rPr>
        <w:t>stalno povećanje navedenih rashoda</w:t>
      </w:r>
      <w:r w:rsidR="00666C2F">
        <w:rPr>
          <w:rFonts w:ascii="Times New Roman" w:hAnsi="Times New Roman"/>
          <w:sz w:val="24"/>
        </w:rPr>
        <w:t>.</w:t>
      </w:r>
      <w:r w:rsidR="00036D0C" w:rsidRPr="002C6A84">
        <w:rPr>
          <w:rFonts w:ascii="Times New Roman" w:hAnsi="Times New Roman"/>
          <w:sz w:val="24"/>
        </w:rPr>
        <w:t xml:space="preserve"> </w:t>
      </w:r>
      <w:r w:rsidR="001757C8">
        <w:rPr>
          <w:rFonts w:ascii="Times New Roman" w:hAnsi="Times New Roman"/>
          <w:bCs/>
          <w:noProof w:val="0"/>
          <w:sz w:val="24"/>
        </w:rPr>
        <w:t>N</w:t>
      </w:r>
      <w:r w:rsidR="00036D0C" w:rsidRPr="002C6A84">
        <w:rPr>
          <w:rFonts w:ascii="Times New Roman" w:hAnsi="Times New Roman"/>
          <w:bCs/>
          <w:noProof w:val="0"/>
          <w:sz w:val="24"/>
        </w:rPr>
        <w:t xml:space="preserve">a poziciji rashoda za nabavu </w:t>
      </w:r>
      <w:r w:rsidR="00D017F1">
        <w:rPr>
          <w:rFonts w:ascii="Times New Roman" w:hAnsi="Times New Roman"/>
          <w:bCs/>
          <w:noProof w:val="0"/>
          <w:sz w:val="24"/>
        </w:rPr>
        <w:t>nefinancijske</w:t>
      </w:r>
      <w:r w:rsidR="00036D0C" w:rsidRPr="002C6A84">
        <w:rPr>
          <w:rFonts w:ascii="Times New Roman" w:hAnsi="Times New Roman"/>
          <w:bCs/>
          <w:noProof w:val="0"/>
          <w:sz w:val="24"/>
        </w:rPr>
        <w:t xml:space="preserve"> imovine</w:t>
      </w:r>
      <w:r w:rsidR="00D017F1">
        <w:rPr>
          <w:rFonts w:ascii="Times New Roman" w:hAnsi="Times New Roman"/>
          <w:bCs/>
          <w:noProof w:val="0"/>
          <w:sz w:val="24"/>
        </w:rPr>
        <w:t xml:space="preserve"> (42, 45)</w:t>
      </w:r>
      <w:r w:rsidR="00036D0C" w:rsidRPr="002C6A84">
        <w:rPr>
          <w:rFonts w:ascii="Times New Roman" w:hAnsi="Times New Roman"/>
          <w:bCs/>
          <w:noProof w:val="0"/>
          <w:sz w:val="24"/>
        </w:rPr>
        <w:t xml:space="preserve"> </w:t>
      </w:r>
      <w:r w:rsidR="001757C8">
        <w:rPr>
          <w:rFonts w:ascii="Times New Roman" w:hAnsi="Times New Roman"/>
          <w:bCs/>
          <w:noProof w:val="0"/>
          <w:sz w:val="24"/>
        </w:rPr>
        <w:t xml:space="preserve">planirana su sredstva </w:t>
      </w:r>
      <w:r w:rsidR="001449D7">
        <w:rPr>
          <w:rFonts w:ascii="Times New Roman" w:hAnsi="Times New Roman"/>
          <w:bCs/>
          <w:noProof w:val="0"/>
          <w:sz w:val="24"/>
        </w:rPr>
        <w:t>u iznosu od 209.42</w:t>
      </w:r>
      <w:r w:rsidR="00D017F1">
        <w:rPr>
          <w:rFonts w:ascii="Times New Roman" w:hAnsi="Times New Roman"/>
          <w:bCs/>
          <w:noProof w:val="0"/>
          <w:sz w:val="24"/>
        </w:rPr>
        <w:t xml:space="preserve">0,00 eura, </w:t>
      </w:r>
      <w:r w:rsidR="00036D0C" w:rsidRPr="002C6A84">
        <w:rPr>
          <w:rFonts w:ascii="Times New Roman" w:hAnsi="Times New Roman"/>
          <w:bCs/>
          <w:noProof w:val="0"/>
          <w:sz w:val="24"/>
        </w:rPr>
        <w:t>koja se o</w:t>
      </w:r>
      <w:r w:rsidR="003B0726">
        <w:rPr>
          <w:rFonts w:ascii="Times New Roman" w:hAnsi="Times New Roman"/>
          <w:bCs/>
          <w:noProof w:val="0"/>
          <w:sz w:val="24"/>
        </w:rPr>
        <w:t>dnose na iznose godišnje otplate</w:t>
      </w:r>
      <w:r w:rsidR="00036D0C" w:rsidRPr="002C6A84">
        <w:rPr>
          <w:rFonts w:ascii="Times New Roman" w:hAnsi="Times New Roman"/>
          <w:bCs/>
          <w:noProof w:val="0"/>
          <w:sz w:val="24"/>
        </w:rPr>
        <w:t xml:space="preserve"> glavnice financijskog </w:t>
      </w:r>
      <w:proofErr w:type="spellStart"/>
      <w:r w:rsidR="00036D0C" w:rsidRPr="002C6A84">
        <w:rPr>
          <w:rFonts w:ascii="Times New Roman" w:hAnsi="Times New Roman"/>
          <w:bCs/>
          <w:noProof w:val="0"/>
          <w:sz w:val="24"/>
        </w:rPr>
        <w:t>leasinga</w:t>
      </w:r>
      <w:proofErr w:type="spellEnd"/>
      <w:r w:rsidR="00036D0C" w:rsidRPr="002C6A84">
        <w:rPr>
          <w:rFonts w:ascii="Times New Roman" w:hAnsi="Times New Roman"/>
          <w:bCs/>
          <w:noProof w:val="0"/>
          <w:sz w:val="24"/>
        </w:rPr>
        <w:t xml:space="preserve"> za nabavu vozila na razdoblje od 5 godina, koja nabava</w:t>
      </w:r>
      <w:r w:rsidR="00016EB6" w:rsidRPr="002C6A84">
        <w:rPr>
          <w:rFonts w:ascii="Times New Roman" w:hAnsi="Times New Roman"/>
          <w:bCs/>
          <w:noProof w:val="0"/>
          <w:sz w:val="24"/>
        </w:rPr>
        <w:t xml:space="preserve"> vozila</w:t>
      </w:r>
      <w:r w:rsidR="00036D0C" w:rsidRPr="002C6A84">
        <w:rPr>
          <w:rFonts w:ascii="Times New Roman" w:hAnsi="Times New Roman"/>
          <w:bCs/>
          <w:noProof w:val="0"/>
          <w:sz w:val="24"/>
        </w:rPr>
        <w:t xml:space="preserve"> j</w:t>
      </w:r>
      <w:r w:rsidR="004874A3" w:rsidRPr="002C6A84">
        <w:rPr>
          <w:rFonts w:ascii="Times New Roman" w:hAnsi="Times New Roman"/>
          <w:bCs/>
          <w:noProof w:val="0"/>
          <w:sz w:val="24"/>
        </w:rPr>
        <w:t>e izvršena t</w:t>
      </w:r>
      <w:r w:rsidR="00452BF0">
        <w:rPr>
          <w:rFonts w:ascii="Times New Roman" w:hAnsi="Times New Roman"/>
          <w:bCs/>
          <w:noProof w:val="0"/>
          <w:sz w:val="24"/>
        </w:rPr>
        <w:t xml:space="preserve">ijekom 2021. </w:t>
      </w:r>
      <w:r w:rsidR="00364EDD">
        <w:rPr>
          <w:rFonts w:ascii="Times New Roman" w:hAnsi="Times New Roman"/>
          <w:bCs/>
          <w:noProof w:val="0"/>
          <w:sz w:val="24"/>
        </w:rPr>
        <w:t>g</w:t>
      </w:r>
      <w:r w:rsidR="00452BF0">
        <w:rPr>
          <w:rFonts w:ascii="Times New Roman" w:hAnsi="Times New Roman"/>
          <w:bCs/>
          <w:noProof w:val="0"/>
          <w:sz w:val="24"/>
        </w:rPr>
        <w:t>odine</w:t>
      </w:r>
      <w:r w:rsidR="001449D7">
        <w:rPr>
          <w:rFonts w:ascii="Times New Roman" w:hAnsi="Times New Roman"/>
          <w:bCs/>
          <w:noProof w:val="0"/>
          <w:sz w:val="24"/>
        </w:rPr>
        <w:t xml:space="preserve"> kao i nabava jednog novog vozila na financijski </w:t>
      </w:r>
      <w:proofErr w:type="spellStart"/>
      <w:r w:rsidR="001449D7">
        <w:rPr>
          <w:rFonts w:ascii="Times New Roman" w:hAnsi="Times New Roman"/>
          <w:bCs/>
          <w:noProof w:val="0"/>
          <w:sz w:val="24"/>
        </w:rPr>
        <w:t>leasing</w:t>
      </w:r>
      <w:proofErr w:type="spellEnd"/>
      <w:r w:rsidR="001449D7">
        <w:rPr>
          <w:rFonts w:ascii="Times New Roman" w:hAnsi="Times New Roman"/>
          <w:bCs/>
          <w:noProof w:val="0"/>
          <w:sz w:val="24"/>
        </w:rPr>
        <w:t xml:space="preserve"> na 5 godina</w:t>
      </w:r>
      <w:r w:rsidR="006C07E7">
        <w:rPr>
          <w:rFonts w:ascii="Times New Roman" w:hAnsi="Times New Roman"/>
          <w:bCs/>
          <w:noProof w:val="0"/>
          <w:sz w:val="24"/>
        </w:rPr>
        <w:t>, budući je službeni automobil koji se koristi iz 2006. godine</w:t>
      </w:r>
      <w:r w:rsidR="001449D7">
        <w:rPr>
          <w:rFonts w:ascii="Times New Roman" w:hAnsi="Times New Roman"/>
          <w:bCs/>
          <w:noProof w:val="0"/>
          <w:sz w:val="24"/>
        </w:rPr>
        <w:t xml:space="preserve"> i to za 2026. u iznosu od 6.72</w:t>
      </w:r>
      <w:r w:rsidR="00452BF0">
        <w:rPr>
          <w:rFonts w:ascii="Times New Roman" w:hAnsi="Times New Roman"/>
          <w:bCs/>
          <w:noProof w:val="0"/>
          <w:sz w:val="24"/>
        </w:rPr>
        <w:t>0,00 eur</w:t>
      </w:r>
      <w:r w:rsidR="005F3A1C">
        <w:rPr>
          <w:rFonts w:ascii="Times New Roman" w:hAnsi="Times New Roman"/>
          <w:bCs/>
          <w:noProof w:val="0"/>
          <w:sz w:val="24"/>
        </w:rPr>
        <w:t>a</w:t>
      </w:r>
      <w:r w:rsidR="000D0750">
        <w:rPr>
          <w:rFonts w:ascii="Times New Roman" w:hAnsi="Times New Roman"/>
          <w:bCs/>
          <w:noProof w:val="0"/>
          <w:sz w:val="24"/>
        </w:rPr>
        <w:t xml:space="preserve"> i nabavu</w:t>
      </w:r>
      <w:r w:rsidR="005F3A1C">
        <w:rPr>
          <w:rFonts w:ascii="Times New Roman" w:hAnsi="Times New Roman"/>
          <w:bCs/>
          <w:noProof w:val="0"/>
          <w:sz w:val="24"/>
        </w:rPr>
        <w:t xml:space="preserve"> </w:t>
      </w:r>
      <w:r w:rsidR="000A1A13">
        <w:rPr>
          <w:rFonts w:ascii="Times New Roman" w:hAnsi="Times New Roman"/>
          <w:bCs/>
          <w:noProof w:val="0"/>
          <w:sz w:val="24"/>
        </w:rPr>
        <w:t>uredske opreme i namještaja</w:t>
      </w:r>
      <w:r w:rsidR="00D017F1">
        <w:rPr>
          <w:rFonts w:ascii="Times New Roman" w:hAnsi="Times New Roman"/>
          <w:bCs/>
          <w:noProof w:val="0"/>
          <w:sz w:val="24"/>
        </w:rPr>
        <w:t xml:space="preserve"> u iznosu od 2.700,00 eura te dodatna ulaganja na građevinskim objektima u iznosu od 200.000,00 eura za </w:t>
      </w:r>
      <w:r w:rsidR="008065CA">
        <w:rPr>
          <w:rFonts w:ascii="Times New Roman" w:hAnsi="Times New Roman"/>
          <w:bCs/>
          <w:noProof w:val="0"/>
          <w:sz w:val="24"/>
        </w:rPr>
        <w:t>adaptaciju</w:t>
      </w:r>
      <w:r w:rsidR="00364EDD">
        <w:rPr>
          <w:rFonts w:ascii="Times New Roman" w:hAnsi="Times New Roman"/>
          <w:bCs/>
          <w:noProof w:val="0"/>
          <w:sz w:val="24"/>
        </w:rPr>
        <w:t xml:space="preserve"> poslovnog prostora, uz napomenu da se sukladno izrađenom Glavnom projektu za adaptaciju poslovnog prostora djelomično provodi postupak javne nabave radova, dok će se ostali postupak javne nabave radova provoditi u narednom razdoblju sukladno osiguranim proračunskim sredstvima.</w:t>
      </w:r>
    </w:p>
    <w:p w:rsidR="00501C7C" w:rsidRPr="002C6A84" w:rsidRDefault="00501C7C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:rsidR="00501C7C" w:rsidRPr="002C6A84" w:rsidRDefault="00501C7C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 w:rsidRPr="002C6A84">
        <w:rPr>
          <w:rFonts w:ascii="Times New Roman" w:hAnsi="Times New Roman"/>
          <w:sz w:val="24"/>
        </w:rPr>
        <w:t>P</w:t>
      </w:r>
      <w:r w:rsidR="00BE4241">
        <w:rPr>
          <w:rFonts w:ascii="Times New Roman" w:hAnsi="Times New Roman"/>
          <w:sz w:val="24"/>
        </w:rPr>
        <w:t>lanirani rashodi i izdaci za</w:t>
      </w:r>
      <w:r w:rsidR="00964B07">
        <w:rPr>
          <w:rFonts w:ascii="Times New Roman" w:hAnsi="Times New Roman"/>
          <w:sz w:val="24"/>
        </w:rPr>
        <w:t xml:space="preserve"> 2027</w:t>
      </w:r>
      <w:r w:rsidR="00BE4241">
        <w:rPr>
          <w:rFonts w:ascii="Times New Roman" w:hAnsi="Times New Roman"/>
          <w:sz w:val="24"/>
        </w:rPr>
        <w:t xml:space="preserve"> godinu planirani</w:t>
      </w:r>
      <w:r w:rsidRPr="002C6A84">
        <w:rPr>
          <w:rFonts w:ascii="Times New Roman" w:hAnsi="Times New Roman"/>
          <w:sz w:val="24"/>
        </w:rPr>
        <w:t xml:space="preserve"> su u iznosu od </w:t>
      </w:r>
      <w:r w:rsidR="00E86163">
        <w:rPr>
          <w:rFonts w:ascii="Times New Roman" w:hAnsi="Times New Roman"/>
          <w:sz w:val="24"/>
        </w:rPr>
        <w:t>1.</w:t>
      </w:r>
      <w:r w:rsidR="003667B1">
        <w:rPr>
          <w:rFonts w:ascii="Times New Roman" w:hAnsi="Times New Roman"/>
          <w:sz w:val="24"/>
        </w:rPr>
        <w:t>667.463</w:t>
      </w:r>
      <w:r w:rsidR="007D680B">
        <w:rPr>
          <w:rFonts w:ascii="Times New Roman" w:hAnsi="Times New Roman"/>
          <w:sz w:val="24"/>
        </w:rPr>
        <w:t>,00</w:t>
      </w:r>
      <w:r w:rsidRPr="002C6A84">
        <w:rPr>
          <w:rFonts w:ascii="Times New Roman" w:hAnsi="Times New Roman"/>
          <w:sz w:val="24"/>
        </w:rPr>
        <w:t xml:space="preserve"> eura od toga za rashod</w:t>
      </w:r>
      <w:r w:rsidR="007D680B">
        <w:rPr>
          <w:rFonts w:ascii="Times New Roman" w:hAnsi="Times New Roman"/>
          <w:sz w:val="24"/>
        </w:rPr>
        <w:t xml:space="preserve">e poslovanja u iznosu od </w:t>
      </w:r>
      <w:r w:rsidR="003667B1">
        <w:rPr>
          <w:rFonts w:ascii="Times New Roman" w:hAnsi="Times New Roman"/>
          <w:sz w:val="24"/>
        </w:rPr>
        <w:t>1.609.285</w:t>
      </w:r>
      <w:r w:rsidR="007D680B">
        <w:rPr>
          <w:rFonts w:ascii="Times New Roman" w:hAnsi="Times New Roman"/>
          <w:sz w:val="24"/>
        </w:rPr>
        <w:t>,00</w:t>
      </w:r>
      <w:r w:rsidR="00BE4241">
        <w:rPr>
          <w:rFonts w:ascii="Times New Roman" w:hAnsi="Times New Roman"/>
          <w:sz w:val="24"/>
        </w:rPr>
        <w:t xml:space="preserve"> eura, </w:t>
      </w:r>
      <w:r w:rsidRPr="002C6A84">
        <w:rPr>
          <w:rFonts w:ascii="Times New Roman" w:hAnsi="Times New Roman"/>
          <w:sz w:val="24"/>
        </w:rPr>
        <w:t xml:space="preserve">za </w:t>
      </w:r>
      <w:r w:rsidR="00016EB6" w:rsidRPr="002C6A84">
        <w:rPr>
          <w:rFonts w:ascii="Times New Roman" w:hAnsi="Times New Roman"/>
          <w:sz w:val="24"/>
        </w:rPr>
        <w:t>zakupnine i najamnine</w:t>
      </w:r>
      <w:r w:rsidRPr="002C6A84">
        <w:rPr>
          <w:rFonts w:ascii="Times New Roman" w:hAnsi="Times New Roman"/>
          <w:sz w:val="24"/>
        </w:rPr>
        <w:t xml:space="preserve"> iz vlastitih prihoda </w:t>
      </w:r>
      <w:r w:rsidR="00016EB6" w:rsidRPr="002C6A84">
        <w:rPr>
          <w:rFonts w:ascii="Times New Roman" w:hAnsi="Times New Roman"/>
          <w:sz w:val="24"/>
        </w:rPr>
        <w:lastRenderedPageBreak/>
        <w:t>478</w:t>
      </w:r>
      <w:r w:rsidR="007D680B">
        <w:rPr>
          <w:rFonts w:ascii="Times New Roman" w:hAnsi="Times New Roman"/>
          <w:sz w:val="24"/>
        </w:rPr>
        <w:t>,00</w:t>
      </w:r>
      <w:r w:rsidR="004874A3" w:rsidRPr="002C6A84">
        <w:rPr>
          <w:rFonts w:ascii="Times New Roman" w:hAnsi="Times New Roman"/>
          <w:sz w:val="24"/>
        </w:rPr>
        <w:t xml:space="preserve"> eura</w:t>
      </w:r>
      <w:r w:rsidR="00BE4241">
        <w:rPr>
          <w:rFonts w:ascii="Times New Roman" w:hAnsi="Times New Roman"/>
          <w:sz w:val="24"/>
        </w:rPr>
        <w:t xml:space="preserve"> te rashode za nabavu nefin</w:t>
      </w:r>
      <w:r w:rsidR="0083427A">
        <w:rPr>
          <w:rFonts w:ascii="Times New Roman" w:hAnsi="Times New Roman"/>
          <w:sz w:val="24"/>
        </w:rPr>
        <w:t xml:space="preserve">ancijske imovine u iznosu od </w:t>
      </w:r>
      <w:r w:rsidR="003667B1">
        <w:rPr>
          <w:rFonts w:ascii="Times New Roman" w:hAnsi="Times New Roman"/>
          <w:sz w:val="24"/>
        </w:rPr>
        <w:t>57.700</w:t>
      </w:r>
      <w:r w:rsidR="00BE4241">
        <w:rPr>
          <w:rFonts w:ascii="Times New Roman" w:hAnsi="Times New Roman"/>
          <w:sz w:val="24"/>
        </w:rPr>
        <w:t>,00 eura</w:t>
      </w:r>
      <w:r w:rsidR="004874A3" w:rsidRPr="002C6A84">
        <w:rPr>
          <w:rFonts w:ascii="Times New Roman" w:hAnsi="Times New Roman"/>
          <w:sz w:val="24"/>
        </w:rPr>
        <w:t xml:space="preserve">, od čega za rashode za zaposlene u iznosu od </w:t>
      </w:r>
      <w:r w:rsidR="003667B1">
        <w:rPr>
          <w:rFonts w:ascii="Times New Roman" w:hAnsi="Times New Roman"/>
          <w:sz w:val="24"/>
        </w:rPr>
        <w:t>1.300.000,00</w:t>
      </w:r>
      <w:r w:rsidR="004874A3" w:rsidRPr="002C6A84">
        <w:rPr>
          <w:rFonts w:ascii="Times New Roman" w:hAnsi="Times New Roman"/>
          <w:sz w:val="24"/>
        </w:rPr>
        <w:t xml:space="preserve"> eura i za materijalne </w:t>
      </w:r>
      <w:r w:rsidR="00E86163">
        <w:rPr>
          <w:rFonts w:ascii="Times New Roman" w:hAnsi="Times New Roman"/>
          <w:sz w:val="24"/>
        </w:rPr>
        <w:t xml:space="preserve">i financijske </w:t>
      </w:r>
      <w:r w:rsidR="004874A3" w:rsidRPr="002C6A84">
        <w:rPr>
          <w:rFonts w:ascii="Times New Roman" w:hAnsi="Times New Roman"/>
          <w:sz w:val="24"/>
        </w:rPr>
        <w:t xml:space="preserve">rashode i izdatke u iznosu od </w:t>
      </w:r>
      <w:r w:rsidR="003667B1">
        <w:rPr>
          <w:rFonts w:ascii="Times New Roman" w:hAnsi="Times New Roman"/>
          <w:sz w:val="24"/>
        </w:rPr>
        <w:t>309.285,00</w:t>
      </w:r>
      <w:r w:rsidR="007D680B">
        <w:rPr>
          <w:rFonts w:ascii="Times New Roman" w:hAnsi="Times New Roman"/>
          <w:sz w:val="24"/>
        </w:rPr>
        <w:t>,00</w:t>
      </w:r>
      <w:r w:rsidR="004874A3" w:rsidRPr="002C6A84">
        <w:rPr>
          <w:rFonts w:ascii="Times New Roman" w:hAnsi="Times New Roman"/>
          <w:sz w:val="24"/>
        </w:rPr>
        <w:t xml:space="preserve"> eura.</w:t>
      </w:r>
      <w:r w:rsidRPr="002C6A84">
        <w:rPr>
          <w:rFonts w:ascii="Times New Roman" w:hAnsi="Times New Roman"/>
          <w:sz w:val="24"/>
        </w:rPr>
        <w:t xml:space="preserve"> Najveći izdaci su </w:t>
      </w:r>
      <w:r w:rsidR="00280A92">
        <w:rPr>
          <w:rFonts w:ascii="Times New Roman" w:hAnsi="Times New Roman"/>
          <w:sz w:val="24"/>
        </w:rPr>
        <w:t>r</w:t>
      </w:r>
      <w:r w:rsidR="007D680B">
        <w:rPr>
          <w:rFonts w:ascii="Times New Roman" w:hAnsi="Times New Roman"/>
          <w:sz w:val="24"/>
        </w:rPr>
        <w:t>ashodi</w:t>
      </w:r>
      <w:r w:rsidRPr="002C6A84">
        <w:rPr>
          <w:rFonts w:ascii="Times New Roman" w:hAnsi="Times New Roman"/>
          <w:sz w:val="24"/>
        </w:rPr>
        <w:t xml:space="preserve"> za zaposlene</w:t>
      </w:r>
      <w:r w:rsidR="00DE41EB">
        <w:rPr>
          <w:rFonts w:ascii="Times New Roman" w:hAnsi="Times New Roman"/>
          <w:sz w:val="24"/>
        </w:rPr>
        <w:t>, koja će se po potrebi tijekom godine korigirati</w:t>
      </w:r>
      <w:r w:rsidRPr="002C6A84">
        <w:rPr>
          <w:rFonts w:ascii="Times New Roman" w:hAnsi="Times New Roman"/>
          <w:sz w:val="24"/>
        </w:rPr>
        <w:t xml:space="preserve"> i intelektualne usluge </w:t>
      </w:r>
      <w:r w:rsidR="003667B1">
        <w:rPr>
          <w:rFonts w:ascii="Times New Roman" w:hAnsi="Times New Roman"/>
          <w:sz w:val="24"/>
        </w:rPr>
        <w:t>od 163</w:t>
      </w:r>
      <w:r w:rsidR="007D680B">
        <w:rPr>
          <w:rFonts w:ascii="Times New Roman" w:hAnsi="Times New Roman"/>
          <w:sz w:val="24"/>
        </w:rPr>
        <w:t>.</w:t>
      </w:r>
      <w:r w:rsidR="003667B1">
        <w:rPr>
          <w:rFonts w:ascii="Times New Roman" w:hAnsi="Times New Roman"/>
          <w:sz w:val="24"/>
        </w:rPr>
        <w:t>060</w:t>
      </w:r>
      <w:r w:rsidR="007D680B">
        <w:rPr>
          <w:rFonts w:ascii="Times New Roman" w:hAnsi="Times New Roman"/>
          <w:sz w:val="24"/>
        </w:rPr>
        <w:t>,00</w:t>
      </w:r>
      <w:r w:rsidRPr="002C6A84">
        <w:rPr>
          <w:rFonts w:ascii="Times New Roman" w:hAnsi="Times New Roman"/>
          <w:sz w:val="24"/>
        </w:rPr>
        <w:t xml:space="preserve"> eura i nema većeg odstupan</w:t>
      </w:r>
      <w:r w:rsidR="003667B1">
        <w:rPr>
          <w:rFonts w:ascii="Times New Roman" w:hAnsi="Times New Roman"/>
          <w:sz w:val="24"/>
        </w:rPr>
        <w:t>ja u odnosu na prethodne godine,</w:t>
      </w:r>
      <w:r w:rsidR="004874A3" w:rsidRPr="002C6A84">
        <w:rPr>
          <w:rFonts w:ascii="Times New Roman" w:hAnsi="Times New Roman"/>
          <w:sz w:val="24"/>
        </w:rPr>
        <w:t xml:space="preserve"> </w:t>
      </w:r>
      <w:r w:rsidR="004874A3" w:rsidRPr="002C6A84">
        <w:rPr>
          <w:rFonts w:ascii="Times New Roman" w:hAnsi="Times New Roman"/>
          <w:bCs/>
          <w:noProof w:val="0"/>
          <w:sz w:val="24"/>
        </w:rPr>
        <w:t xml:space="preserve">Također su planirana sredstva na poziciji rashoda za nabavu </w:t>
      </w:r>
      <w:r w:rsidR="00280A92">
        <w:rPr>
          <w:rFonts w:ascii="Times New Roman" w:hAnsi="Times New Roman"/>
          <w:bCs/>
          <w:noProof w:val="0"/>
          <w:sz w:val="24"/>
        </w:rPr>
        <w:t>financijske</w:t>
      </w:r>
      <w:r w:rsidR="004874A3" w:rsidRPr="002C6A84">
        <w:rPr>
          <w:rFonts w:ascii="Times New Roman" w:hAnsi="Times New Roman"/>
          <w:bCs/>
          <w:noProof w:val="0"/>
          <w:sz w:val="24"/>
        </w:rPr>
        <w:t xml:space="preserve"> imovine</w:t>
      </w:r>
      <w:r w:rsidR="003667B1">
        <w:rPr>
          <w:rFonts w:ascii="Times New Roman" w:hAnsi="Times New Roman"/>
          <w:bCs/>
          <w:noProof w:val="0"/>
          <w:sz w:val="24"/>
        </w:rPr>
        <w:t xml:space="preserve"> (42, 45) u iznosu od 57.700</w:t>
      </w:r>
      <w:r w:rsidR="00280A92">
        <w:rPr>
          <w:rFonts w:ascii="Times New Roman" w:hAnsi="Times New Roman"/>
          <w:bCs/>
          <w:noProof w:val="0"/>
          <w:sz w:val="24"/>
        </w:rPr>
        <w:t>,00 eura,</w:t>
      </w:r>
      <w:r w:rsidR="004874A3" w:rsidRPr="002C6A84">
        <w:rPr>
          <w:rFonts w:ascii="Times New Roman" w:hAnsi="Times New Roman"/>
          <w:bCs/>
          <w:noProof w:val="0"/>
          <w:sz w:val="24"/>
        </w:rPr>
        <w:t xml:space="preserve"> koja se odnose na iznose godišnje otplatu glavnice financijskog </w:t>
      </w:r>
      <w:proofErr w:type="spellStart"/>
      <w:r w:rsidR="004874A3" w:rsidRPr="002C6A84">
        <w:rPr>
          <w:rFonts w:ascii="Times New Roman" w:hAnsi="Times New Roman"/>
          <w:bCs/>
          <w:noProof w:val="0"/>
          <w:sz w:val="24"/>
        </w:rPr>
        <w:t>leasinga</w:t>
      </w:r>
      <w:proofErr w:type="spellEnd"/>
      <w:r w:rsidR="004874A3" w:rsidRPr="002C6A84">
        <w:rPr>
          <w:rFonts w:ascii="Times New Roman" w:hAnsi="Times New Roman"/>
          <w:bCs/>
          <w:noProof w:val="0"/>
          <w:sz w:val="24"/>
        </w:rPr>
        <w:t xml:space="preserve"> za nabavu vozila </w:t>
      </w:r>
      <w:r w:rsidR="003667B1">
        <w:rPr>
          <w:rFonts w:ascii="Times New Roman" w:hAnsi="Times New Roman"/>
          <w:bCs/>
          <w:noProof w:val="0"/>
          <w:sz w:val="24"/>
        </w:rPr>
        <w:t>na razdoblje od 5 godina za 2027</w:t>
      </w:r>
      <w:r w:rsidR="004874A3" w:rsidRPr="002C6A84">
        <w:rPr>
          <w:rFonts w:ascii="Times New Roman" w:hAnsi="Times New Roman"/>
          <w:bCs/>
          <w:noProof w:val="0"/>
          <w:sz w:val="24"/>
        </w:rPr>
        <w:t xml:space="preserve">. u iznosu od </w:t>
      </w:r>
      <w:r w:rsidR="003667B1">
        <w:rPr>
          <w:rFonts w:ascii="Times New Roman" w:hAnsi="Times New Roman"/>
          <w:bCs/>
          <w:noProof w:val="0"/>
          <w:sz w:val="24"/>
        </w:rPr>
        <w:t>5.000</w:t>
      </w:r>
      <w:r w:rsidR="00380203">
        <w:rPr>
          <w:rFonts w:ascii="Times New Roman" w:hAnsi="Times New Roman"/>
          <w:bCs/>
          <w:noProof w:val="0"/>
          <w:sz w:val="24"/>
        </w:rPr>
        <w:t>,00</w:t>
      </w:r>
      <w:r w:rsidR="000D0750">
        <w:rPr>
          <w:rFonts w:ascii="Times New Roman" w:hAnsi="Times New Roman"/>
          <w:bCs/>
          <w:noProof w:val="0"/>
          <w:sz w:val="24"/>
        </w:rPr>
        <w:t xml:space="preserve"> eura</w:t>
      </w:r>
      <w:r w:rsidR="00433521">
        <w:rPr>
          <w:rFonts w:ascii="Times New Roman" w:hAnsi="Times New Roman"/>
          <w:bCs/>
          <w:noProof w:val="0"/>
          <w:sz w:val="24"/>
        </w:rPr>
        <w:t xml:space="preserve"> kao i nabavu uredske opreme i namještaja u iznosu od 2.700,00 eura</w:t>
      </w:r>
      <w:r w:rsidR="00280A92">
        <w:rPr>
          <w:rFonts w:ascii="Times New Roman" w:hAnsi="Times New Roman"/>
          <w:bCs/>
          <w:noProof w:val="0"/>
          <w:sz w:val="24"/>
        </w:rPr>
        <w:t xml:space="preserve"> te dodatna ulaganja na građe</w:t>
      </w:r>
      <w:r w:rsidR="003667B1">
        <w:rPr>
          <w:rFonts w:ascii="Times New Roman" w:hAnsi="Times New Roman"/>
          <w:bCs/>
          <w:noProof w:val="0"/>
          <w:sz w:val="24"/>
        </w:rPr>
        <w:t>vinskim objektima u iznosu od 5</w:t>
      </w:r>
      <w:r w:rsidR="00280A92">
        <w:rPr>
          <w:rFonts w:ascii="Times New Roman" w:hAnsi="Times New Roman"/>
          <w:bCs/>
          <w:noProof w:val="0"/>
          <w:sz w:val="24"/>
        </w:rPr>
        <w:t xml:space="preserve">0.000,00 eura za </w:t>
      </w:r>
      <w:r w:rsidR="003667B1">
        <w:rPr>
          <w:rFonts w:ascii="Times New Roman" w:hAnsi="Times New Roman"/>
          <w:bCs/>
          <w:noProof w:val="0"/>
          <w:sz w:val="24"/>
        </w:rPr>
        <w:t xml:space="preserve">daljnju </w:t>
      </w:r>
      <w:r w:rsidR="008065CA">
        <w:rPr>
          <w:rFonts w:ascii="Times New Roman" w:hAnsi="Times New Roman"/>
          <w:bCs/>
          <w:noProof w:val="0"/>
          <w:sz w:val="24"/>
        </w:rPr>
        <w:t>adaptaciju</w:t>
      </w:r>
      <w:r w:rsidR="00280A92">
        <w:rPr>
          <w:rFonts w:ascii="Times New Roman" w:hAnsi="Times New Roman"/>
          <w:bCs/>
          <w:noProof w:val="0"/>
          <w:sz w:val="24"/>
        </w:rPr>
        <w:t xml:space="preserve"> poslovnog prostora.</w:t>
      </w:r>
    </w:p>
    <w:p w:rsidR="00501C7C" w:rsidRPr="002C6A84" w:rsidRDefault="00501C7C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</w:p>
    <w:p w:rsidR="00501C7C" w:rsidRPr="002C6A84" w:rsidRDefault="00501C7C" w:rsidP="00501C7C">
      <w:pPr>
        <w:tabs>
          <w:tab w:val="left" w:pos="1764"/>
        </w:tabs>
        <w:jc w:val="both"/>
        <w:rPr>
          <w:rFonts w:ascii="Times New Roman" w:hAnsi="Times New Roman"/>
          <w:sz w:val="24"/>
        </w:rPr>
      </w:pPr>
      <w:r w:rsidRPr="002C6A84">
        <w:rPr>
          <w:rFonts w:ascii="Times New Roman" w:hAnsi="Times New Roman"/>
          <w:sz w:val="24"/>
        </w:rPr>
        <w:t>P</w:t>
      </w:r>
      <w:r w:rsidR="00964B07">
        <w:rPr>
          <w:rFonts w:ascii="Times New Roman" w:hAnsi="Times New Roman"/>
          <w:sz w:val="24"/>
        </w:rPr>
        <w:t>lanirani rashodi i izdaci u 2028</w:t>
      </w:r>
      <w:r w:rsidR="000D0750">
        <w:rPr>
          <w:rFonts w:ascii="Times New Roman" w:hAnsi="Times New Roman"/>
          <w:sz w:val="24"/>
        </w:rPr>
        <w:t xml:space="preserve"> god. su u iznosu </w:t>
      </w:r>
      <w:r w:rsidR="00AC1872">
        <w:rPr>
          <w:rFonts w:ascii="Times New Roman" w:hAnsi="Times New Roman"/>
          <w:sz w:val="24"/>
        </w:rPr>
        <w:t>1.</w:t>
      </w:r>
      <w:r w:rsidR="003667B1">
        <w:rPr>
          <w:rFonts w:ascii="Times New Roman" w:hAnsi="Times New Roman"/>
          <w:sz w:val="24"/>
        </w:rPr>
        <w:t>700.583</w:t>
      </w:r>
      <w:r w:rsidR="000D0750">
        <w:rPr>
          <w:rFonts w:ascii="Times New Roman" w:hAnsi="Times New Roman"/>
          <w:sz w:val="24"/>
        </w:rPr>
        <w:t>,00</w:t>
      </w:r>
      <w:r w:rsidRPr="002C6A84">
        <w:rPr>
          <w:rFonts w:ascii="Times New Roman" w:hAnsi="Times New Roman"/>
          <w:sz w:val="24"/>
        </w:rPr>
        <w:t xml:space="preserve"> eura</w:t>
      </w:r>
      <w:r w:rsidR="00FC14B3">
        <w:rPr>
          <w:rFonts w:ascii="Times New Roman" w:hAnsi="Times New Roman"/>
          <w:sz w:val="24"/>
        </w:rPr>
        <w:t>,</w:t>
      </w:r>
      <w:r w:rsidRPr="002C6A84">
        <w:rPr>
          <w:rFonts w:ascii="Times New Roman" w:hAnsi="Times New Roman"/>
          <w:sz w:val="24"/>
        </w:rPr>
        <w:t xml:space="preserve"> od </w:t>
      </w:r>
      <w:r w:rsidR="00FC14B3">
        <w:rPr>
          <w:rFonts w:ascii="Times New Roman" w:hAnsi="Times New Roman"/>
          <w:sz w:val="24"/>
        </w:rPr>
        <w:t>čega</w:t>
      </w:r>
      <w:r w:rsidRPr="002C6A84">
        <w:rPr>
          <w:rFonts w:ascii="Times New Roman" w:hAnsi="Times New Roman"/>
          <w:sz w:val="24"/>
        </w:rPr>
        <w:t xml:space="preserve"> za rashode</w:t>
      </w:r>
      <w:r w:rsidR="004874A3" w:rsidRPr="002C6A84">
        <w:rPr>
          <w:rFonts w:ascii="Times New Roman" w:hAnsi="Times New Roman"/>
          <w:sz w:val="24"/>
        </w:rPr>
        <w:t xml:space="preserve"> poslovanja u iznosu od </w:t>
      </w:r>
      <w:r w:rsidR="003667B1">
        <w:rPr>
          <w:rFonts w:ascii="Times New Roman" w:hAnsi="Times New Roman"/>
          <w:sz w:val="24"/>
        </w:rPr>
        <w:t>1.642.105</w:t>
      </w:r>
      <w:r w:rsidR="000D0750">
        <w:rPr>
          <w:rFonts w:ascii="Times New Roman" w:hAnsi="Times New Roman"/>
          <w:sz w:val="24"/>
        </w:rPr>
        <w:t>,00</w:t>
      </w:r>
      <w:r w:rsidRPr="002C6A84">
        <w:rPr>
          <w:rFonts w:ascii="Times New Roman" w:hAnsi="Times New Roman"/>
          <w:sz w:val="24"/>
        </w:rPr>
        <w:t xml:space="preserve"> eura</w:t>
      </w:r>
      <w:r w:rsidR="008065CA">
        <w:rPr>
          <w:rFonts w:ascii="Times New Roman" w:hAnsi="Times New Roman"/>
          <w:sz w:val="24"/>
        </w:rPr>
        <w:t>,</w:t>
      </w:r>
      <w:r w:rsidRPr="002C6A84">
        <w:rPr>
          <w:rFonts w:ascii="Times New Roman" w:hAnsi="Times New Roman"/>
          <w:sz w:val="24"/>
        </w:rPr>
        <w:t xml:space="preserve"> </w:t>
      </w:r>
      <w:r w:rsidR="004874A3" w:rsidRPr="002C6A84">
        <w:rPr>
          <w:rFonts w:ascii="Times New Roman" w:hAnsi="Times New Roman"/>
          <w:sz w:val="24"/>
        </w:rPr>
        <w:t>zakupnine i najamnine</w:t>
      </w:r>
      <w:r w:rsidRPr="002C6A84">
        <w:rPr>
          <w:rFonts w:ascii="Times New Roman" w:hAnsi="Times New Roman"/>
          <w:sz w:val="24"/>
        </w:rPr>
        <w:t xml:space="preserve"> iz vlastitih prihoda </w:t>
      </w:r>
      <w:r w:rsidR="004874A3" w:rsidRPr="002C6A84">
        <w:rPr>
          <w:rFonts w:ascii="Times New Roman" w:hAnsi="Times New Roman"/>
          <w:sz w:val="24"/>
        </w:rPr>
        <w:t>478</w:t>
      </w:r>
      <w:r w:rsidR="008065CA">
        <w:rPr>
          <w:rFonts w:ascii="Times New Roman" w:hAnsi="Times New Roman"/>
          <w:sz w:val="24"/>
        </w:rPr>
        <w:t xml:space="preserve"> eura te rashode za nabavu nefinancijsek imovine u iznosu od </w:t>
      </w:r>
      <w:r w:rsidR="003667B1">
        <w:rPr>
          <w:rFonts w:ascii="Times New Roman" w:hAnsi="Times New Roman"/>
          <w:sz w:val="24"/>
        </w:rPr>
        <w:t>58</w:t>
      </w:r>
      <w:r w:rsidR="008065CA">
        <w:rPr>
          <w:rFonts w:ascii="Times New Roman" w:hAnsi="Times New Roman"/>
          <w:sz w:val="24"/>
        </w:rPr>
        <w:t>.</w:t>
      </w:r>
      <w:r w:rsidR="003667B1">
        <w:rPr>
          <w:rFonts w:ascii="Times New Roman" w:hAnsi="Times New Roman"/>
          <w:sz w:val="24"/>
        </w:rPr>
        <w:t>0</w:t>
      </w:r>
      <w:r w:rsidR="008164A9">
        <w:rPr>
          <w:rFonts w:ascii="Times New Roman" w:hAnsi="Times New Roman"/>
          <w:sz w:val="24"/>
        </w:rPr>
        <w:t>0</w:t>
      </w:r>
      <w:r w:rsidR="008065CA">
        <w:rPr>
          <w:rFonts w:ascii="Times New Roman" w:hAnsi="Times New Roman"/>
          <w:sz w:val="24"/>
        </w:rPr>
        <w:t>0,00 eura.</w:t>
      </w:r>
      <w:r w:rsidRPr="002C6A84">
        <w:rPr>
          <w:rFonts w:ascii="Times New Roman" w:hAnsi="Times New Roman"/>
          <w:sz w:val="24"/>
        </w:rPr>
        <w:t xml:space="preserve"> Najveći izdaci su </w:t>
      </w:r>
      <w:r w:rsidR="008065CA">
        <w:rPr>
          <w:rFonts w:ascii="Times New Roman" w:hAnsi="Times New Roman"/>
          <w:sz w:val="24"/>
        </w:rPr>
        <w:t>rashodi</w:t>
      </w:r>
      <w:r w:rsidRPr="002C6A84">
        <w:rPr>
          <w:rFonts w:ascii="Times New Roman" w:hAnsi="Times New Roman"/>
          <w:sz w:val="24"/>
        </w:rPr>
        <w:t xml:space="preserve"> za zaposlene</w:t>
      </w:r>
      <w:r w:rsidR="008065CA">
        <w:rPr>
          <w:rFonts w:ascii="Times New Roman" w:hAnsi="Times New Roman"/>
          <w:sz w:val="24"/>
        </w:rPr>
        <w:t xml:space="preserve"> </w:t>
      </w:r>
      <w:r w:rsidR="003667B1">
        <w:rPr>
          <w:rFonts w:ascii="Times New Roman" w:hAnsi="Times New Roman"/>
          <w:sz w:val="24"/>
        </w:rPr>
        <w:t>1.300.000</w:t>
      </w:r>
      <w:r w:rsidR="000D0750">
        <w:rPr>
          <w:rFonts w:ascii="Times New Roman" w:hAnsi="Times New Roman"/>
          <w:sz w:val="24"/>
        </w:rPr>
        <w:t>,00</w:t>
      </w:r>
      <w:r w:rsidR="004874A3" w:rsidRPr="002C6A84">
        <w:rPr>
          <w:rFonts w:ascii="Times New Roman" w:hAnsi="Times New Roman"/>
          <w:sz w:val="24"/>
        </w:rPr>
        <w:t xml:space="preserve"> eura</w:t>
      </w:r>
      <w:r w:rsidR="00E75E0B">
        <w:rPr>
          <w:rFonts w:ascii="Times New Roman" w:hAnsi="Times New Roman"/>
          <w:sz w:val="24"/>
        </w:rPr>
        <w:t>, kod čega je izgledno da će sredstva biti nedostatna</w:t>
      </w:r>
      <w:r w:rsidRPr="002C6A84">
        <w:rPr>
          <w:rFonts w:ascii="Times New Roman" w:hAnsi="Times New Roman"/>
          <w:sz w:val="24"/>
        </w:rPr>
        <w:t xml:space="preserve"> i </w:t>
      </w:r>
      <w:r w:rsidR="008065CA">
        <w:rPr>
          <w:rFonts w:ascii="Times New Roman" w:hAnsi="Times New Roman"/>
          <w:sz w:val="24"/>
        </w:rPr>
        <w:t>rashodi</w:t>
      </w:r>
      <w:r w:rsidR="00760BAF" w:rsidRPr="002C6A84">
        <w:rPr>
          <w:rFonts w:ascii="Times New Roman" w:hAnsi="Times New Roman"/>
          <w:sz w:val="24"/>
        </w:rPr>
        <w:t xml:space="preserve"> za </w:t>
      </w:r>
      <w:r w:rsidRPr="002C6A84">
        <w:rPr>
          <w:rFonts w:ascii="Times New Roman" w:hAnsi="Times New Roman"/>
          <w:sz w:val="24"/>
        </w:rPr>
        <w:t>intelektualne</w:t>
      </w:r>
      <w:r w:rsidR="008065CA">
        <w:rPr>
          <w:rFonts w:ascii="Times New Roman" w:hAnsi="Times New Roman"/>
          <w:sz w:val="24"/>
        </w:rPr>
        <w:t xml:space="preserve"> i osobne</w:t>
      </w:r>
      <w:r w:rsidRPr="002C6A84">
        <w:rPr>
          <w:rFonts w:ascii="Times New Roman" w:hAnsi="Times New Roman"/>
          <w:sz w:val="24"/>
        </w:rPr>
        <w:t xml:space="preserve"> usluge</w:t>
      </w:r>
      <w:r w:rsidR="004874A3" w:rsidRPr="002C6A84">
        <w:rPr>
          <w:rFonts w:ascii="Times New Roman" w:hAnsi="Times New Roman"/>
          <w:sz w:val="24"/>
        </w:rPr>
        <w:t xml:space="preserve"> </w:t>
      </w:r>
      <w:r w:rsidR="00552AFA">
        <w:rPr>
          <w:rFonts w:ascii="Times New Roman" w:hAnsi="Times New Roman"/>
          <w:sz w:val="24"/>
        </w:rPr>
        <w:t>1</w:t>
      </w:r>
      <w:r w:rsidR="003667B1">
        <w:rPr>
          <w:rFonts w:ascii="Times New Roman" w:hAnsi="Times New Roman"/>
          <w:sz w:val="24"/>
        </w:rPr>
        <w:t>90</w:t>
      </w:r>
      <w:r w:rsidR="000D0750">
        <w:rPr>
          <w:rFonts w:ascii="Times New Roman" w:hAnsi="Times New Roman"/>
          <w:sz w:val="24"/>
        </w:rPr>
        <w:t>.</w:t>
      </w:r>
      <w:r w:rsidR="003667B1">
        <w:rPr>
          <w:rFonts w:ascii="Times New Roman" w:hAnsi="Times New Roman"/>
          <w:sz w:val="24"/>
        </w:rPr>
        <w:t>0</w:t>
      </w:r>
      <w:r w:rsidR="000D0750">
        <w:rPr>
          <w:rFonts w:ascii="Times New Roman" w:hAnsi="Times New Roman"/>
          <w:sz w:val="24"/>
        </w:rPr>
        <w:t>00,00</w:t>
      </w:r>
      <w:r w:rsidR="004874A3" w:rsidRPr="002C6A84">
        <w:rPr>
          <w:rFonts w:ascii="Times New Roman" w:hAnsi="Times New Roman"/>
          <w:sz w:val="24"/>
        </w:rPr>
        <w:t xml:space="preserve"> eura</w:t>
      </w:r>
      <w:r w:rsidRPr="002C6A84">
        <w:rPr>
          <w:rFonts w:ascii="Times New Roman" w:hAnsi="Times New Roman"/>
          <w:sz w:val="24"/>
        </w:rPr>
        <w:t xml:space="preserve"> i nema većeg odstupanja u odnosu na prethodne godine.</w:t>
      </w:r>
      <w:r w:rsidR="004874A3" w:rsidRPr="002C6A84">
        <w:rPr>
          <w:rFonts w:ascii="Times New Roman" w:hAnsi="Times New Roman"/>
          <w:sz w:val="24"/>
        </w:rPr>
        <w:t xml:space="preserve"> </w:t>
      </w:r>
      <w:r w:rsidR="004874A3" w:rsidRPr="002C6A84">
        <w:rPr>
          <w:rFonts w:ascii="Times New Roman" w:hAnsi="Times New Roman"/>
          <w:bCs/>
          <w:noProof w:val="0"/>
          <w:sz w:val="24"/>
        </w:rPr>
        <w:t xml:space="preserve">Također su planirana sredstva na poziciji rashoda za nabavu </w:t>
      </w:r>
      <w:r w:rsidR="008065CA">
        <w:rPr>
          <w:rFonts w:ascii="Times New Roman" w:hAnsi="Times New Roman"/>
          <w:bCs/>
          <w:noProof w:val="0"/>
          <w:sz w:val="24"/>
        </w:rPr>
        <w:t xml:space="preserve">nefinancijske imovine </w:t>
      </w:r>
      <w:r w:rsidR="004874A3" w:rsidRPr="002C6A84">
        <w:rPr>
          <w:rFonts w:ascii="Times New Roman" w:hAnsi="Times New Roman"/>
          <w:bCs/>
          <w:noProof w:val="0"/>
          <w:sz w:val="24"/>
        </w:rPr>
        <w:t xml:space="preserve">koja se odnose na iznose godišnje otplatu glavnice financijskog </w:t>
      </w:r>
      <w:proofErr w:type="spellStart"/>
      <w:r w:rsidR="004874A3" w:rsidRPr="002C6A84">
        <w:rPr>
          <w:rFonts w:ascii="Times New Roman" w:hAnsi="Times New Roman"/>
          <w:bCs/>
          <w:noProof w:val="0"/>
          <w:sz w:val="24"/>
        </w:rPr>
        <w:t>leasinga</w:t>
      </w:r>
      <w:proofErr w:type="spellEnd"/>
      <w:r w:rsidR="004874A3" w:rsidRPr="002C6A84">
        <w:rPr>
          <w:rFonts w:ascii="Times New Roman" w:hAnsi="Times New Roman"/>
          <w:bCs/>
          <w:noProof w:val="0"/>
          <w:sz w:val="24"/>
        </w:rPr>
        <w:t xml:space="preserve"> za nabavu vozila na razdoblje od 5 godina</w:t>
      </w:r>
      <w:r w:rsidR="000D0750">
        <w:rPr>
          <w:rFonts w:ascii="Times New Roman" w:hAnsi="Times New Roman"/>
          <w:bCs/>
          <w:noProof w:val="0"/>
          <w:sz w:val="24"/>
        </w:rPr>
        <w:t xml:space="preserve"> za 2</w:t>
      </w:r>
      <w:r w:rsidR="003A3CB6">
        <w:rPr>
          <w:rFonts w:ascii="Times New Roman" w:hAnsi="Times New Roman"/>
          <w:bCs/>
          <w:noProof w:val="0"/>
          <w:sz w:val="24"/>
        </w:rPr>
        <w:t>028</w:t>
      </w:r>
      <w:r w:rsidR="004874A3" w:rsidRPr="002C6A84">
        <w:rPr>
          <w:rFonts w:ascii="Times New Roman" w:hAnsi="Times New Roman"/>
          <w:bCs/>
          <w:noProof w:val="0"/>
          <w:sz w:val="24"/>
        </w:rPr>
        <w:t xml:space="preserve">. u iznosu od </w:t>
      </w:r>
      <w:r w:rsidR="003A3CB6">
        <w:rPr>
          <w:rFonts w:ascii="Times New Roman" w:hAnsi="Times New Roman"/>
          <w:bCs/>
          <w:noProof w:val="0"/>
          <w:sz w:val="24"/>
        </w:rPr>
        <w:t>5</w:t>
      </w:r>
      <w:r w:rsidR="000D0750">
        <w:rPr>
          <w:rFonts w:ascii="Times New Roman" w:hAnsi="Times New Roman"/>
          <w:bCs/>
          <w:noProof w:val="0"/>
          <w:sz w:val="24"/>
        </w:rPr>
        <w:t>.</w:t>
      </w:r>
      <w:r w:rsidR="00552AFA">
        <w:rPr>
          <w:rFonts w:ascii="Times New Roman" w:hAnsi="Times New Roman"/>
          <w:bCs/>
          <w:noProof w:val="0"/>
          <w:sz w:val="24"/>
        </w:rPr>
        <w:t>00</w:t>
      </w:r>
      <w:r w:rsidR="000D0750">
        <w:rPr>
          <w:rFonts w:ascii="Times New Roman" w:hAnsi="Times New Roman"/>
          <w:bCs/>
          <w:noProof w:val="0"/>
          <w:sz w:val="24"/>
        </w:rPr>
        <w:t>0,00 eura i nabavu uredske opreme i namje</w:t>
      </w:r>
      <w:r w:rsidR="008065CA">
        <w:rPr>
          <w:rFonts w:ascii="Times New Roman" w:hAnsi="Times New Roman"/>
          <w:bCs/>
          <w:noProof w:val="0"/>
          <w:sz w:val="24"/>
        </w:rPr>
        <w:t xml:space="preserve">štaja u iznosu od </w:t>
      </w:r>
      <w:r w:rsidR="003A3CB6">
        <w:rPr>
          <w:rFonts w:ascii="Times New Roman" w:hAnsi="Times New Roman"/>
          <w:bCs/>
          <w:noProof w:val="0"/>
          <w:sz w:val="24"/>
        </w:rPr>
        <w:t>3</w:t>
      </w:r>
      <w:r w:rsidR="008065CA">
        <w:rPr>
          <w:rFonts w:ascii="Times New Roman" w:hAnsi="Times New Roman"/>
          <w:bCs/>
          <w:noProof w:val="0"/>
          <w:sz w:val="24"/>
        </w:rPr>
        <w:t>.</w:t>
      </w:r>
      <w:r w:rsidR="003A3CB6">
        <w:rPr>
          <w:rFonts w:ascii="Times New Roman" w:hAnsi="Times New Roman"/>
          <w:bCs/>
          <w:noProof w:val="0"/>
          <w:sz w:val="24"/>
        </w:rPr>
        <w:t>0</w:t>
      </w:r>
      <w:r w:rsidR="008065CA">
        <w:rPr>
          <w:rFonts w:ascii="Times New Roman" w:hAnsi="Times New Roman"/>
          <w:bCs/>
          <w:noProof w:val="0"/>
          <w:sz w:val="24"/>
        </w:rPr>
        <w:t xml:space="preserve">00,00 eura te dodatna ulaganja na građevinskim objektima u iznosu od </w:t>
      </w:r>
      <w:r w:rsidR="00552AFA">
        <w:rPr>
          <w:rFonts w:ascii="Times New Roman" w:hAnsi="Times New Roman"/>
          <w:bCs/>
          <w:noProof w:val="0"/>
          <w:sz w:val="24"/>
        </w:rPr>
        <w:t>5</w:t>
      </w:r>
      <w:r w:rsidR="008065CA">
        <w:rPr>
          <w:rFonts w:ascii="Times New Roman" w:hAnsi="Times New Roman"/>
          <w:bCs/>
          <w:noProof w:val="0"/>
          <w:sz w:val="24"/>
        </w:rPr>
        <w:t xml:space="preserve">0.000,00 eura za </w:t>
      </w:r>
      <w:r w:rsidR="003A3CB6">
        <w:rPr>
          <w:rFonts w:ascii="Times New Roman" w:hAnsi="Times New Roman"/>
          <w:bCs/>
          <w:noProof w:val="0"/>
          <w:sz w:val="24"/>
        </w:rPr>
        <w:t xml:space="preserve">daljnju </w:t>
      </w:r>
      <w:r w:rsidR="008065CA">
        <w:rPr>
          <w:rFonts w:ascii="Times New Roman" w:hAnsi="Times New Roman"/>
          <w:bCs/>
          <w:noProof w:val="0"/>
          <w:sz w:val="24"/>
        </w:rPr>
        <w:t>adaptaciju poslovnog prostora</w:t>
      </w:r>
      <w:r w:rsidR="003A3CB6">
        <w:rPr>
          <w:rFonts w:ascii="Times New Roman" w:hAnsi="Times New Roman"/>
          <w:bCs/>
          <w:noProof w:val="0"/>
          <w:sz w:val="24"/>
        </w:rPr>
        <w:t xml:space="preserve"> sukladno planu kapitalnih ulaganja</w:t>
      </w:r>
      <w:r w:rsidR="008065CA">
        <w:rPr>
          <w:rFonts w:ascii="Times New Roman" w:hAnsi="Times New Roman"/>
          <w:bCs/>
          <w:noProof w:val="0"/>
          <w:sz w:val="24"/>
        </w:rPr>
        <w:t>.</w:t>
      </w:r>
    </w:p>
    <w:p w:rsidR="00660A8A" w:rsidRPr="002C6A84" w:rsidRDefault="00660A8A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</w:p>
    <w:p w:rsidR="00C530F9" w:rsidRDefault="00C530F9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b/>
          <w:noProof w:val="0"/>
          <w:sz w:val="24"/>
        </w:rPr>
      </w:pP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b/>
          <w:noProof w:val="0"/>
          <w:sz w:val="24"/>
        </w:rPr>
      </w:pPr>
      <w:r w:rsidRPr="002C6A84">
        <w:rPr>
          <w:rFonts w:ascii="Times New Roman" w:hAnsi="Times New Roman"/>
          <w:b/>
          <w:noProof w:val="0"/>
          <w:sz w:val="24"/>
        </w:rPr>
        <w:t>PRIJENOSI SREDSTAVA IZ PRETHODNE I U SLJEDEĆU GODINU</w:t>
      </w: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  <w:r w:rsidRPr="002C6A84">
        <w:rPr>
          <w:rFonts w:ascii="Times New Roman" w:hAnsi="Times New Roman"/>
          <w:noProof w:val="0"/>
          <w:sz w:val="24"/>
        </w:rPr>
        <w:t xml:space="preserve">Nemamo planirane ove kategorije prijenosa sredstava iz prethodne ili </w:t>
      </w:r>
      <w:r w:rsidR="00522E6C">
        <w:rPr>
          <w:rFonts w:ascii="Times New Roman" w:hAnsi="Times New Roman"/>
          <w:noProof w:val="0"/>
          <w:sz w:val="24"/>
        </w:rPr>
        <w:t>u sljed</w:t>
      </w:r>
      <w:r w:rsidR="00964B07">
        <w:rPr>
          <w:rFonts w:ascii="Times New Roman" w:hAnsi="Times New Roman"/>
          <w:noProof w:val="0"/>
          <w:sz w:val="24"/>
        </w:rPr>
        <w:t>eću godinu donos i odnos za 2026., 2027. i 2028</w:t>
      </w:r>
      <w:r w:rsidR="00522E6C">
        <w:rPr>
          <w:rFonts w:ascii="Times New Roman" w:hAnsi="Times New Roman"/>
          <w:noProof w:val="0"/>
          <w:sz w:val="24"/>
        </w:rPr>
        <w:t>. godinu.</w:t>
      </w: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240BBE">
      <w:pPr>
        <w:widowControl/>
        <w:tabs>
          <w:tab w:val="left" w:pos="1764"/>
        </w:tabs>
        <w:autoSpaceDE/>
        <w:autoSpaceDN/>
        <w:adjustRightInd/>
        <w:rPr>
          <w:rFonts w:ascii="Times New Roman" w:hAnsi="Times New Roman"/>
          <w:b/>
          <w:noProof w:val="0"/>
          <w:sz w:val="24"/>
        </w:rPr>
      </w:pPr>
      <w:r w:rsidRPr="002C6A84">
        <w:rPr>
          <w:rFonts w:ascii="Times New Roman" w:hAnsi="Times New Roman"/>
          <w:b/>
          <w:noProof w:val="0"/>
          <w:sz w:val="24"/>
        </w:rPr>
        <w:t xml:space="preserve">UKUPNE I DOSPJELE OBVEZE </w:t>
      </w:r>
    </w:p>
    <w:p w:rsidR="00240BBE" w:rsidRPr="002C6A84" w:rsidRDefault="00240BBE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240BBE" w:rsidRPr="002C6A84" w:rsidRDefault="00240BBE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tbl>
      <w:tblPr>
        <w:tblW w:w="95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3544"/>
        <w:gridCol w:w="3976"/>
      </w:tblGrid>
      <w:tr w:rsidR="00240BBE" w:rsidRPr="002C6A84" w:rsidTr="00ED5075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BBE" w:rsidRPr="002C6A84" w:rsidRDefault="00240BBE" w:rsidP="00240BB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noProof w:val="0"/>
                <w:color w:val="000000"/>
                <w:sz w:val="24"/>
              </w:rPr>
            </w:pPr>
            <w:r w:rsidRPr="002C6A84">
              <w:rPr>
                <w:rFonts w:ascii="Times New Roman" w:hAnsi="Times New Roman"/>
                <w:noProof w:val="0"/>
                <w:color w:val="000000"/>
                <w:sz w:val="24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BBE" w:rsidRPr="002C6A84" w:rsidRDefault="00964B07" w:rsidP="00240BB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noProof w:val="0"/>
                <w:color w:val="000000"/>
                <w:sz w:val="24"/>
              </w:rPr>
            </w:pPr>
            <w:r>
              <w:rPr>
                <w:rFonts w:ascii="Times New Roman" w:hAnsi="Times New Roman"/>
                <w:noProof w:val="0"/>
                <w:color w:val="000000"/>
                <w:sz w:val="24"/>
              </w:rPr>
              <w:t>Stanje obveza na dan 31.12.2024</w:t>
            </w:r>
            <w:r w:rsidR="00240BBE" w:rsidRPr="002C6A84">
              <w:rPr>
                <w:rFonts w:ascii="Times New Roman" w:hAnsi="Times New Roman"/>
                <w:noProof w:val="0"/>
                <w:color w:val="000000"/>
                <w:sz w:val="24"/>
              </w:rPr>
              <w:t>.</w:t>
            </w:r>
          </w:p>
        </w:tc>
        <w:tc>
          <w:tcPr>
            <w:tcW w:w="3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BBE" w:rsidRPr="002C6A84" w:rsidRDefault="00964B07" w:rsidP="00240BB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noProof w:val="0"/>
                <w:color w:val="000000"/>
                <w:sz w:val="24"/>
              </w:rPr>
            </w:pPr>
            <w:r>
              <w:rPr>
                <w:rFonts w:ascii="Times New Roman" w:hAnsi="Times New Roman"/>
                <w:noProof w:val="0"/>
                <w:color w:val="000000"/>
                <w:sz w:val="24"/>
              </w:rPr>
              <w:t>Stanje obveza na dan 30.06.2025</w:t>
            </w:r>
            <w:r w:rsidR="00240BBE" w:rsidRPr="002C6A84">
              <w:rPr>
                <w:rFonts w:ascii="Times New Roman" w:hAnsi="Times New Roman"/>
                <w:noProof w:val="0"/>
                <w:color w:val="000000"/>
                <w:sz w:val="24"/>
              </w:rPr>
              <w:t>.</w:t>
            </w:r>
          </w:p>
        </w:tc>
      </w:tr>
      <w:tr w:rsidR="00240BBE" w:rsidRPr="002C6A84" w:rsidTr="00ED5075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BBE" w:rsidRPr="002C6A84" w:rsidRDefault="00240BBE" w:rsidP="00240BB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bCs/>
                <w:noProof w:val="0"/>
                <w:color w:val="000000"/>
                <w:sz w:val="24"/>
              </w:rPr>
            </w:pPr>
            <w:r w:rsidRPr="002C6A84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Ukupne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BBE" w:rsidRPr="002C6A84" w:rsidRDefault="00964B07" w:rsidP="007A59E2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/>
                <w:noProof w:val="0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noProof w:val="0"/>
                <w:color w:val="000000"/>
                <w:sz w:val="24"/>
              </w:rPr>
              <w:t>94.140,07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BBE" w:rsidRPr="002C6A84" w:rsidRDefault="00964B07" w:rsidP="007A59E2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/>
                <w:noProof w:val="0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noProof w:val="0"/>
                <w:color w:val="000000"/>
                <w:sz w:val="24"/>
              </w:rPr>
              <w:t>86.764,05</w:t>
            </w:r>
          </w:p>
        </w:tc>
      </w:tr>
      <w:tr w:rsidR="00240BBE" w:rsidRPr="002C6A84" w:rsidTr="00ED5075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BBE" w:rsidRPr="002C6A84" w:rsidRDefault="00240BBE" w:rsidP="00240BB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bCs/>
                <w:noProof w:val="0"/>
                <w:color w:val="000000"/>
                <w:sz w:val="24"/>
              </w:rPr>
            </w:pPr>
            <w:r w:rsidRPr="002C6A84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Dospjele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BBE" w:rsidRPr="002C6A84" w:rsidRDefault="00964B07" w:rsidP="00CF3112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/>
                <w:noProof w:val="0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noProof w:val="0"/>
                <w:color w:val="000000"/>
                <w:sz w:val="24"/>
              </w:rPr>
              <w:t>0,00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0BBE" w:rsidRPr="002C6A84" w:rsidRDefault="00964B07" w:rsidP="007A59E2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/>
                <w:noProof w:val="0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noProof w:val="0"/>
                <w:color w:val="000000"/>
                <w:sz w:val="24"/>
              </w:rPr>
              <w:t>2.076,80</w:t>
            </w:r>
          </w:p>
        </w:tc>
      </w:tr>
    </w:tbl>
    <w:p w:rsidR="00240BBE" w:rsidRPr="002C6A84" w:rsidRDefault="00240BBE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:rsidR="00240BBE" w:rsidRPr="002C6A84" w:rsidRDefault="00964B07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Čakovec, 25</w:t>
      </w:r>
      <w:r w:rsidR="00E72601" w:rsidRPr="002C6A84">
        <w:rPr>
          <w:rFonts w:ascii="Times New Roman" w:hAnsi="Times New Roman"/>
          <w:noProof w:val="0"/>
          <w:sz w:val="24"/>
        </w:rPr>
        <w:t xml:space="preserve">. </w:t>
      </w:r>
      <w:r>
        <w:rPr>
          <w:rFonts w:ascii="Times New Roman" w:hAnsi="Times New Roman"/>
          <w:noProof w:val="0"/>
          <w:sz w:val="24"/>
        </w:rPr>
        <w:t>rujna 2025</w:t>
      </w:r>
      <w:r w:rsidR="00E72601" w:rsidRPr="002C6A84">
        <w:rPr>
          <w:rFonts w:ascii="Times New Roman" w:hAnsi="Times New Roman"/>
          <w:noProof w:val="0"/>
          <w:sz w:val="24"/>
        </w:rPr>
        <w:t>.</w:t>
      </w:r>
    </w:p>
    <w:sectPr w:rsidR="00240BBE" w:rsidRPr="002C6A84" w:rsidSect="006223AF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63" w:rsidRDefault="00046963" w:rsidP="006223AF">
      <w:r>
        <w:separator/>
      </w:r>
    </w:p>
  </w:endnote>
  <w:endnote w:type="continuationSeparator" w:id="0">
    <w:p w:rsidR="00046963" w:rsidRDefault="00046963" w:rsidP="006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524400"/>
      <w:docPartObj>
        <w:docPartGallery w:val="Page Numbers (Bottom of Page)"/>
        <w:docPartUnique/>
      </w:docPartObj>
    </w:sdtPr>
    <w:sdtEndPr/>
    <w:sdtContent>
      <w:p w:rsidR="008909C9" w:rsidRDefault="008909C9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DE6">
          <w:t>3</w:t>
        </w:r>
        <w:r>
          <w:fldChar w:fldCharType="end"/>
        </w:r>
      </w:p>
    </w:sdtContent>
  </w:sdt>
  <w:p w:rsidR="006223AF" w:rsidRDefault="006223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63" w:rsidRDefault="00046963" w:rsidP="006223AF">
      <w:r>
        <w:separator/>
      </w:r>
    </w:p>
  </w:footnote>
  <w:footnote w:type="continuationSeparator" w:id="0">
    <w:p w:rsidR="00046963" w:rsidRDefault="00046963" w:rsidP="006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3A3E"/>
    <w:multiLevelType w:val="hybridMultilevel"/>
    <w:tmpl w:val="C6B0C100"/>
    <w:lvl w:ilvl="0" w:tplc="68945210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48BC1C10"/>
    <w:multiLevelType w:val="hybridMultilevel"/>
    <w:tmpl w:val="56AEE148"/>
    <w:lvl w:ilvl="0" w:tplc="149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9E"/>
    <w:rsid w:val="00015781"/>
    <w:rsid w:val="00016EB6"/>
    <w:rsid w:val="000175C8"/>
    <w:rsid w:val="000219A4"/>
    <w:rsid w:val="0002779D"/>
    <w:rsid w:val="00027F55"/>
    <w:rsid w:val="00036D0C"/>
    <w:rsid w:val="00046963"/>
    <w:rsid w:val="00050827"/>
    <w:rsid w:val="00057381"/>
    <w:rsid w:val="00070AB9"/>
    <w:rsid w:val="000A1A13"/>
    <w:rsid w:val="000B057A"/>
    <w:rsid w:val="000B773A"/>
    <w:rsid w:val="000D0750"/>
    <w:rsid w:val="000D572F"/>
    <w:rsid w:val="000F45C6"/>
    <w:rsid w:val="000F74E5"/>
    <w:rsid w:val="00105B64"/>
    <w:rsid w:val="001204D4"/>
    <w:rsid w:val="00120ECA"/>
    <w:rsid w:val="001328CE"/>
    <w:rsid w:val="00135098"/>
    <w:rsid w:val="001449D7"/>
    <w:rsid w:val="00164778"/>
    <w:rsid w:val="001721FC"/>
    <w:rsid w:val="00173722"/>
    <w:rsid w:val="00175087"/>
    <w:rsid w:val="001757C8"/>
    <w:rsid w:val="00186ADC"/>
    <w:rsid w:val="00197C6E"/>
    <w:rsid w:val="001B2D3B"/>
    <w:rsid w:val="00207FF5"/>
    <w:rsid w:val="0023761B"/>
    <w:rsid w:val="00240BBE"/>
    <w:rsid w:val="002462C1"/>
    <w:rsid w:val="00267CF4"/>
    <w:rsid w:val="0027131D"/>
    <w:rsid w:val="00271B5F"/>
    <w:rsid w:val="00280A92"/>
    <w:rsid w:val="0028376E"/>
    <w:rsid w:val="002A549D"/>
    <w:rsid w:val="002B26EE"/>
    <w:rsid w:val="002C6A84"/>
    <w:rsid w:val="002E2EB1"/>
    <w:rsid w:val="0031182F"/>
    <w:rsid w:val="00364EDD"/>
    <w:rsid w:val="003667B1"/>
    <w:rsid w:val="00380203"/>
    <w:rsid w:val="0038539E"/>
    <w:rsid w:val="003A03B5"/>
    <w:rsid w:val="003A3CB6"/>
    <w:rsid w:val="003B0726"/>
    <w:rsid w:val="003E31A4"/>
    <w:rsid w:val="003E6198"/>
    <w:rsid w:val="00400E44"/>
    <w:rsid w:val="00433521"/>
    <w:rsid w:val="004473A1"/>
    <w:rsid w:val="00452BF0"/>
    <w:rsid w:val="004874A3"/>
    <w:rsid w:val="004925E7"/>
    <w:rsid w:val="004D0072"/>
    <w:rsid w:val="004F058E"/>
    <w:rsid w:val="00501C7C"/>
    <w:rsid w:val="0051425A"/>
    <w:rsid w:val="00522990"/>
    <w:rsid w:val="00522E6C"/>
    <w:rsid w:val="00552AFA"/>
    <w:rsid w:val="00555F20"/>
    <w:rsid w:val="00576C8E"/>
    <w:rsid w:val="0058545B"/>
    <w:rsid w:val="0059584B"/>
    <w:rsid w:val="00596534"/>
    <w:rsid w:val="005A38D3"/>
    <w:rsid w:val="005A55F0"/>
    <w:rsid w:val="005C0B20"/>
    <w:rsid w:val="005C7B6D"/>
    <w:rsid w:val="005E225D"/>
    <w:rsid w:val="005F24D1"/>
    <w:rsid w:val="005F3A1C"/>
    <w:rsid w:val="00603395"/>
    <w:rsid w:val="006223AF"/>
    <w:rsid w:val="0063791A"/>
    <w:rsid w:val="00660A8A"/>
    <w:rsid w:val="00666C2F"/>
    <w:rsid w:val="00683840"/>
    <w:rsid w:val="00687E4D"/>
    <w:rsid w:val="006A242C"/>
    <w:rsid w:val="006B3B24"/>
    <w:rsid w:val="006C07E7"/>
    <w:rsid w:val="00722195"/>
    <w:rsid w:val="00726E59"/>
    <w:rsid w:val="00735323"/>
    <w:rsid w:val="00760BAF"/>
    <w:rsid w:val="00760DE6"/>
    <w:rsid w:val="00780E5B"/>
    <w:rsid w:val="00786326"/>
    <w:rsid w:val="007863BC"/>
    <w:rsid w:val="00797A64"/>
    <w:rsid w:val="007A272B"/>
    <w:rsid w:val="007A59E2"/>
    <w:rsid w:val="007B66E4"/>
    <w:rsid w:val="007D680B"/>
    <w:rsid w:val="007D6DE7"/>
    <w:rsid w:val="007E4DC1"/>
    <w:rsid w:val="007F74E8"/>
    <w:rsid w:val="008065CA"/>
    <w:rsid w:val="008164A9"/>
    <w:rsid w:val="008220E6"/>
    <w:rsid w:val="008309F7"/>
    <w:rsid w:val="0083427A"/>
    <w:rsid w:val="008751F0"/>
    <w:rsid w:val="0088505A"/>
    <w:rsid w:val="008909C9"/>
    <w:rsid w:val="008A7A15"/>
    <w:rsid w:val="008B3DB4"/>
    <w:rsid w:val="008B4835"/>
    <w:rsid w:val="008D0989"/>
    <w:rsid w:val="008F539A"/>
    <w:rsid w:val="0092233B"/>
    <w:rsid w:val="0092431B"/>
    <w:rsid w:val="0092777E"/>
    <w:rsid w:val="00930B13"/>
    <w:rsid w:val="00931334"/>
    <w:rsid w:val="009608DF"/>
    <w:rsid w:val="00962A93"/>
    <w:rsid w:val="00963C25"/>
    <w:rsid w:val="00964B07"/>
    <w:rsid w:val="009709D8"/>
    <w:rsid w:val="00982A20"/>
    <w:rsid w:val="009876EA"/>
    <w:rsid w:val="009A193B"/>
    <w:rsid w:val="009A5556"/>
    <w:rsid w:val="009D6D05"/>
    <w:rsid w:val="009F407A"/>
    <w:rsid w:val="009F6C9E"/>
    <w:rsid w:val="00A1103A"/>
    <w:rsid w:val="00A12833"/>
    <w:rsid w:val="00A21003"/>
    <w:rsid w:val="00A24A63"/>
    <w:rsid w:val="00A316FF"/>
    <w:rsid w:val="00A43E1D"/>
    <w:rsid w:val="00A624DF"/>
    <w:rsid w:val="00A8535B"/>
    <w:rsid w:val="00A95CC0"/>
    <w:rsid w:val="00A97FC9"/>
    <w:rsid w:val="00AB3E8D"/>
    <w:rsid w:val="00AC1872"/>
    <w:rsid w:val="00AC7514"/>
    <w:rsid w:val="00AF5AD9"/>
    <w:rsid w:val="00B31571"/>
    <w:rsid w:val="00B567A2"/>
    <w:rsid w:val="00B63CFA"/>
    <w:rsid w:val="00BA5DA4"/>
    <w:rsid w:val="00BC5491"/>
    <w:rsid w:val="00BD5B98"/>
    <w:rsid w:val="00BE3F64"/>
    <w:rsid w:val="00BE4241"/>
    <w:rsid w:val="00BE4F0C"/>
    <w:rsid w:val="00BE6A07"/>
    <w:rsid w:val="00C11FAE"/>
    <w:rsid w:val="00C139F8"/>
    <w:rsid w:val="00C2171C"/>
    <w:rsid w:val="00C52E5C"/>
    <w:rsid w:val="00C530F9"/>
    <w:rsid w:val="00C532CC"/>
    <w:rsid w:val="00C5740E"/>
    <w:rsid w:val="00C66AD6"/>
    <w:rsid w:val="00C81AAB"/>
    <w:rsid w:val="00C85B6D"/>
    <w:rsid w:val="00C863FF"/>
    <w:rsid w:val="00C908E3"/>
    <w:rsid w:val="00C90DA4"/>
    <w:rsid w:val="00C93A79"/>
    <w:rsid w:val="00CB7E3A"/>
    <w:rsid w:val="00CD5BCF"/>
    <w:rsid w:val="00CF3112"/>
    <w:rsid w:val="00D017F1"/>
    <w:rsid w:val="00D4441F"/>
    <w:rsid w:val="00DE0931"/>
    <w:rsid w:val="00DE41EB"/>
    <w:rsid w:val="00E14D35"/>
    <w:rsid w:val="00E17065"/>
    <w:rsid w:val="00E230E2"/>
    <w:rsid w:val="00E2486C"/>
    <w:rsid w:val="00E517E3"/>
    <w:rsid w:val="00E654EF"/>
    <w:rsid w:val="00E72601"/>
    <w:rsid w:val="00E75E0B"/>
    <w:rsid w:val="00E86163"/>
    <w:rsid w:val="00EA33A3"/>
    <w:rsid w:val="00EA3F7A"/>
    <w:rsid w:val="00ED1A76"/>
    <w:rsid w:val="00EE21B3"/>
    <w:rsid w:val="00F14C6D"/>
    <w:rsid w:val="00F16E75"/>
    <w:rsid w:val="00F211B6"/>
    <w:rsid w:val="00F369C8"/>
    <w:rsid w:val="00F64862"/>
    <w:rsid w:val="00FC14B3"/>
    <w:rsid w:val="00FC7DFB"/>
    <w:rsid w:val="00FD2345"/>
    <w:rsid w:val="00FD2BF4"/>
    <w:rsid w:val="00FD52D8"/>
    <w:rsid w:val="00FD7A68"/>
    <w:rsid w:val="00FE1210"/>
    <w:rsid w:val="00FF3321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07FC"/>
  <w15:docId w15:val="{4D8E3AF3-0B09-46A4-B02E-8058CE43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C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F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0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098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Horvat</dc:creator>
  <cp:lastModifiedBy>Nevenka Horvat</cp:lastModifiedBy>
  <cp:revision>2</cp:revision>
  <cp:lastPrinted>2025-09-25T09:55:00Z</cp:lastPrinted>
  <dcterms:created xsi:type="dcterms:W3CDTF">2025-12-18T13:20:00Z</dcterms:created>
  <dcterms:modified xsi:type="dcterms:W3CDTF">2025-12-18T13:20:00Z</dcterms:modified>
</cp:coreProperties>
</file>