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586113c12466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4876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OPĆINSKO DRŽAVNO ODVJETNIŠTVO U SLAVONSKOM BRODU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1.605.448,87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2.059.274,76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1.592.940,15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2.197.694,75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138.419,99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6.067,50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9.341,00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6.067,50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3.915,77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4.198,83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148.686,32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Manjak prihoda i primitaka nastao kao razlika između prihoda i rashoda, a čini ga rashodi po obračunu plaće, prijevoza 12-2025 i tekući materijalni i financijski rashodi rashodi za prosinac 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1.605.448,87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2.059.274,76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</w:tbl>
    <w:p>
      <w:pPr>
        <w:spacing w:before="0" w:after="0"/>
      </w:pPr>
    </w:p>
    <w:p>
      <w:r>
        <w:t xml:space="preserve">čine prihodi od pružanja usluga kopiranja iz spisa,  prihodi iz nadležnog proračuna za financiranje rashoda poslovanja - povećanje za  28,3% zbog rasta osnovice plaće,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1.592.940,15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2.197.694,75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</w:tbl>
    <w:p>
      <w:pPr>
        <w:spacing w:before="0" w:after="0"/>
      </w:pPr>
    </w:p>
    <w:p>
      <w:r>
        <w:t xml:space="preserve">povećanje  za 38, % u odnosu na 2024.g. promjena osnovice za plaće ,većeg broja zaposlenih,  povećanje zbog primjene novog Pravilnika o proračunskom računovodstvu i računskom planu zbog čega u ovom periodu imamo 13 rashoda za plaće i prijevoz ,te većih materijalnih rahoda na skoro svim pozicijama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243.807,52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126.857,13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</w:t>
            </w:r>
          </w:p>
        </w:tc>
      </w:tr>
    </w:tbl>
    <w:p>
      <w:pPr>
        <w:spacing w:before="0" w:after="0"/>
      </w:pPr>
    </w:p>
    <w:p>
      <w:r>
        <w:t xml:space="preserve">čini nefinancijska imovina u iznosu 126.510,76€ i financijska imovina u iznosu 346,37€ ( financijsku imovinu čine novac na žiro računu 0,02 €, potraživanja za bolovanja  od HZZO u iznosu 346,35 €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145.926,29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r>
        <w:t xml:space="preserve">Obveze za zaposlene-povećanje od 22,3%  uzrok je povećanje osnovice plaće i većeg broja zaposlenih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120.721,94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126.510,76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</w:tbl>
    <w:p>
      <w:pPr>
        <w:spacing w:before="0" w:after="0"/>
      </w:pPr>
    </w:p>
    <w:p>
      <w:r>
        <w:t xml:space="preserve">povećanje od 4,8% rezultat je nabave uredskog namještaja i opreme i ulaganja po Odlukama MPUDT.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92211 do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13.951,00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9.752,17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69,9</w:t>
            </w:r>
          </w:p>
        </w:tc>
      </w:tr>
    </w:tbl>
    <w:p>
      <w:pPr>
        <w:spacing w:before="0" w:after="0"/>
      </w:pPr>
    </w:p>
    <w:p>
      <w:r>
        <w:t xml:space="preserve">odnosi se na stanje po financijskom leasingu za nabavu službenog vozila,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18.895,31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167.581,63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886,9</w:t>
            </w:r>
          </w:p>
        </w:tc>
      </w:tr>
    </w:tbl>
    <w:p>
      <w:pPr>
        <w:spacing w:before="0" w:after="0"/>
      </w:pPr>
    </w:p>
    <w:p>
      <w:r>
        <w:t xml:space="preserve">čine obveze za plaću , prijevoz  prosinac 2025, obveze za plaćanje kontinuiranih rashoda za prosinac 2025.i  intelektualnih usluga zaprimljenih poslije mogućnosti realizacije  tijekom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13.951,00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9.752,17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69,9</w:t>
            </w:r>
          </w:p>
        </w:tc>
      </w:tr>
    </w:tbl>
    <w:p>
      <w:pPr>
        <w:spacing w:before="0" w:after="0"/>
      </w:pPr>
    </w:p>
    <w:p>
      <w:r>
        <w:t xml:space="preserve">odnosi se na stanje po financijskom leasingu za nabavu službenog vozila,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Sudovi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1.602.281,15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2.203.762,25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iskazani iznos odgovara iznosu na pozicije na obrascu PR-RAS – ukupni rashodi  u 2025.godini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29.145,18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odnosi se na ulaganja u tuđu imovinu( Instalacije LAN u NG - Odluka MPUDT od 27.03.2025) i nabavu računalne opreme i uredskog namještaja po  Odlukama MPUDT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155.931,89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čine obveze za plaću i prijevoz  prema obračunu za prosinac 2024.g,  obveze za materijalne i financijske rashode, obveze za povrat u proračun bolovanje i pasivne kamate po žiro računu, obveze za financijski leasing.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8.457,59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nepodmire obveze odnose se na obveze koje su nastale na poziciji intelektualnih  obveza (odvjetnici,prevoditelji i vještaci) koji u računovodstvo nisu bili zaprimljeni do vremena realizacije istih.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169.222,58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čine obveze za plaću i prijevoz  prema obračunu za prosinac 2025.g,  obveze za materijalne i financijske rashode, obveze za povrat u proračun bolovanje i pasivne kamate po žiro računu, obveze za financijski leasing.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c2e9afac7c4b58" /></Relationships>
</file>