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A29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2904" w:rsidRDefault="0068276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A2904" w:rsidRDefault="00682761">
            <w:pPr>
              <w:spacing w:after="0" w:line="240" w:lineRule="auto"/>
            </w:pPr>
            <w:r>
              <w:t>3620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2904" w:rsidRDefault="0068276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A2904" w:rsidRDefault="00682761">
            <w:pPr>
              <w:spacing w:after="0" w:line="240" w:lineRule="auto"/>
            </w:pPr>
            <w:r>
              <w:t>ŽUPANIJSKO DRŽAVNO ODVJETNIŠTVO U OSIJEKU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2904" w:rsidRDefault="0068276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A2904" w:rsidRDefault="00682761">
            <w:pPr>
              <w:spacing w:after="0" w:line="240" w:lineRule="auto"/>
            </w:pPr>
            <w:r>
              <w:t>11</w:t>
            </w:r>
          </w:p>
        </w:tc>
      </w:tr>
    </w:tbl>
    <w:p w:rsidR="005A2904" w:rsidRDefault="00682761">
      <w:r>
        <w:br/>
      </w:r>
    </w:p>
    <w:p w:rsidR="005A2904" w:rsidRDefault="0068276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A2904" w:rsidRDefault="0068276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A2904" w:rsidRDefault="0068276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2.324.580,41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2.568.782,15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2.322.669,84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2.782.505,18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213.723,03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4.457,08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4.638,20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104,1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2.546,51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218.361,23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8574,9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Županijsko državno odvjetništvo u Osijeku, u izvještajnom razdoblju od 01. siječnja do 31. prosinca 2025. ostvarilo je 2.568.782,15 eura prihoda. Isti se odnose na prihode od pruženih usluga u iznosu od 363,20 eura (izvor financiranja 31) i od 2.568.418,95</w:t>
      </w:r>
      <w:r>
        <w:t xml:space="preserve"> eura prihoda iz proračuna (izvor financiranja 11) te prihoda za financiranje rashoda za nabavu nefinancijske imovine u iznosu od 4.638,20 eura. Ukupni rashodi u iznosu od 2.782.205,18 eura od čega se na rashode za zaposlene odnosi 2.410.867,27 eura, mater</w:t>
      </w:r>
      <w:r>
        <w:t>ijalnih rashoda u iznosu od 341.709,47 eura te financijskih rashoda u iznosu od 29.919,04 eura.</w:t>
      </w:r>
    </w:p>
    <w:p w:rsidR="005A2904" w:rsidRDefault="00682761">
      <w:r>
        <w:lastRenderedPageBreak/>
        <w:t>U ovom izvještajnom razdoblju nastao je manjak prihoda i primitaka (Y005) od 218.361,23 eura čiji najveći udio čine trošak plaće za prosinac 2025. </w:t>
      </w:r>
    </w:p>
    <w:p w:rsidR="005A2904" w:rsidRDefault="00682761">
      <w:r>
        <w:t>Manjak bi bi</w:t>
      </w:r>
      <w:r>
        <w:t>o znatno manji ali zbog primjene novog Pravilnika o proračunskom računovodstvu i računskom planu ukinut je konto 19311-rashodi budućih razdoblja na kojemu bi bila iskazana plaća za prosinac.</w:t>
      </w:r>
    </w:p>
    <w:p w:rsidR="005A2904" w:rsidRDefault="00682761">
      <w:r>
        <w:t>Manjak od nefinancijske imovine i zaduživanja  (šifra Y003) u izn</w:t>
      </w:r>
      <w:r>
        <w:t xml:space="preserve">osu od 4.638,20 eura odnosi se na otplatu glavnice financijskog </w:t>
      </w:r>
      <w:proofErr w:type="spellStart"/>
      <w:r>
        <w:t>leasinga</w:t>
      </w:r>
      <w:proofErr w:type="spellEnd"/>
      <w:r>
        <w:t xml:space="preserve"> za službeno vozilo.</w:t>
      </w:r>
    </w:p>
    <w:p w:rsidR="005A2904" w:rsidRDefault="00682761">
      <w:r>
        <w:br/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1.630.996,71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1.996.138,50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Znatnije povećanje na stavci šifre 3111 u odnosu na isto izvještajno razdoblje prethodne godine zbog povećanja osnovice za obračun plaće državnim službenicima i namještenicima u prvom i zadnjem kvartalu proračunske godine prema Kolektivnom ugovoru.</w:t>
      </w:r>
    </w:p>
    <w:p w:rsidR="005A2904" w:rsidRDefault="00682761">
      <w:r>
        <w:t>Osim to</w:t>
      </w:r>
      <w:r>
        <w:t>ga, osnovica za obračun plaće je izjednačena pravosudnim dužnosnicima s osnovicom plaće državnih službenika i namještenika u prvom kvartalu proračunske godine Zakonom o plaći i drugim materijalnim pravima pravosudnih dužnosnika.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270.330,39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330.081,05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Porast iznosa doprinosa za obvezno zdravstveno osiguranje u odnosu na isto izvještajno razdoblje prethodne godine vezano je uz povećanje bruto plaća pravosudnih dužnosnika, državnih službenika i namještenika što je obrazloženo na šifri 3111.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20.302,83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28.289,64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lastRenderedPageBreak/>
        <w:t xml:space="preserve">Šifra 3212 uvećana je u odnosu na isto izvještajno razdoblje prošle godine jer od lipnja 2024., prema Zakonu o plaćama i drugim materijalnim pravima pravosudnih dužnosnika i oni ostvaruju pravo na naknadu za prijevoz. Tako da je 2025. </w:t>
      </w:r>
      <w:proofErr w:type="spellStart"/>
      <w:r>
        <w:t>tererećena</w:t>
      </w:r>
      <w:proofErr w:type="spellEnd"/>
      <w:r>
        <w:t xml:space="preserve"> cijela god</w:t>
      </w:r>
      <w:r>
        <w:t>ina za naknadu za prijevoz pravosudnim dužnosnicima, a 2024. samo druga polovina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301,3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 xml:space="preserve">Veliko odstupanje u odnosu na isto izvještajno razdoblje prethodne godine nastalo je zbog većeg broja pohađanja seminara, </w:t>
      </w:r>
      <w:proofErr w:type="spellStart"/>
      <w:r>
        <w:t>savjetnovanja</w:t>
      </w:r>
      <w:proofErr w:type="spellEnd"/>
      <w:r>
        <w:t xml:space="preserve"> nego prošle godine zbog raznih zakonskih izmjena.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 xml:space="preserve">Usluge tekućeg i investicijskog </w:t>
      </w:r>
      <w:proofErr w:type="spellStart"/>
      <w:r>
        <w:t>održavnanja</w:t>
      </w:r>
      <w:proofErr w:type="spellEnd"/>
      <w:r>
        <w:t xml:space="preserve"> su uvećane u odnosu na isto izvještajno razdoblje prethodne godine zbog potrebe za većim brojem servisa i popravaka u 2025. godini.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150.665,11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172.974,84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Podizanje cijena odvjetničkih usluga u Hrvatskoj utemeljeno je na novoj Tarifi o nagradama i naknadi troškova za rad odvjetnika (NN 138/2023), kojom su bodovi povećani, što izravno utječe na veće troškove zastupanja, sastavljanja isprava i drugih radnji, o</w:t>
      </w:r>
      <w:r>
        <w:t>sim toga u 2025. godini je bilo više potrebe i za uslugama sudskih vještaka i tumača nego što je to bilo u istom izvještajnom razdoblju prethodne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52.621,58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62.711,34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S ove se stavke plaćaju usluge čuvanja imovine i zgrade čija je cijena sata čuvanja ovisna o porastu propisane visine bruto plaće, a kako se bruto minimalna plaća povećava svake godine tako rastu i cijene ovih usluga.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Od 1. siječnja 2025. godine na snazi je Novi Pravilnik o utvrđivanju kvote za zapošljavanje osoba s invaliditetom (NN, br. 151/24.)  kojim se propisuje udio zaposlenih osoba s invaliditetom u ukupnom broju zaposlenih kod pojedinog poslodavca.</w:t>
      </w:r>
    </w:p>
    <w:p w:rsidR="005A2904" w:rsidRDefault="00682761">
      <w:r>
        <w:t>Poslodavac ko</w:t>
      </w:r>
      <w:r>
        <w:t>ji ne ispuni kvotu zapošljavanjem osoba s invaliditetom ili zamjenskom kvotom, odnosno ne zaposli određeni broj osoba s invaliditetom dužan je mjesečno, prilikom obračuna plaća, obračunati i uplatiti novčanu naknadu u iznosu od 20 % minimalne plaće za svak</w:t>
      </w:r>
      <w:r>
        <w:t>u osobu s invaliditetom koju je bio dužan zaposliti radi ispunjenja propisane kvote.</w:t>
      </w:r>
    </w:p>
    <w:p w:rsidR="005A2904" w:rsidRDefault="00682761">
      <w:r>
        <w:t xml:space="preserve">Prema tome, novčana naknada za jedno </w:t>
      </w:r>
      <w:proofErr w:type="spellStart"/>
      <w:r>
        <w:t>kvotno</w:t>
      </w:r>
      <w:proofErr w:type="spellEnd"/>
      <w:r>
        <w:t xml:space="preserve"> nezapošljavanje u 2025. godini iznosi 194,00 eura mjesečno (20% od 970,00 eura).</w:t>
      </w:r>
    </w:p>
    <w:p w:rsidR="005A2904" w:rsidRDefault="00682761">
      <w:r>
        <w:t>U 2024. godini, novčana naknada je iznosila 16</w:t>
      </w:r>
      <w:r>
        <w:t>8,00 eura. 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25.831,20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Povećanje na šifri 3433-zatezne kamate u odnosu na isto izvještajno razdoblje prethodne godine zbog većeg iznosa kamata za beneficirani radni staž koji retroaktivno isplaćujemo pravosudnim dužnosnicima za razdoblje od rujna 2011. do rujna 2018.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lastRenderedPageBreak/>
        <w:t>Bi</w:t>
      </w:r>
      <w:r>
        <w:rPr>
          <w:sz w:val="28"/>
        </w:rPr>
        <w:t>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213.723,03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Najveći udio manjka u 2025. godini odnosi se na trošak plaće i prijevoza za prosinac 2025. jer je po novom Pravilniku o proračunskom računovodstvu i računskom planu ukinut konto rashoda budućih razdoblja gdje smo do sada iskazivali ove troškove te nisu ter</w:t>
      </w:r>
      <w:r>
        <w:t>etili izvještajno razdoblje, a sada ga terete.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Manjak prihoda poslovanja-preneseni 01.01.2025. (31.12.2024.) iznosio je 14.217,71 eura.</w:t>
      </w:r>
    </w:p>
    <w:p w:rsidR="005A2904" w:rsidRDefault="00682761">
      <w:r>
        <w:t>U siječnju 2025. prilikom plaćanja računa iz 2024. uočene su greške kod knjiženja režijskih računa te se preneseni manjak morao korigirati u iznosu od  106,64 eura.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2.322.669,84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2.782.505,18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 xml:space="preserve">Značajniji porast ukupnih </w:t>
      </w:r>
      <w:proofErr w:type="spellStart"/>
      <w:r>
        <w:t>rasoda</w:t>
      </w:r>
      <w:proofErr w:type="spellEnd"/>
      <w:r>
        <w:t xml:space="preserve"> u odnosu na isto izvještajno razdoblje u najvećem se dijelu odnosi na troškove plaća čiji je porast prethodno objašnjen na šifri 3111.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218.361,23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8574,9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 xml:space="preserve">Najveći udio manjka u 2025. godini odnosi se na trošak plaće i prijevoza za prosinac 2025. jer je po novom Pravilniku o proračunskom računovodstvu i računskom planu ukinut konto </w:t>
      </w:r>
      <w:r>
        <w:lastRenderedPageBreak/>
        <w:t>rashoda budućih razdoblja gdje smo do sada iskazivali ove troškove te nisu ter</w:t>
      </w:r>
      <w:r>
        <w:t>etili izvještajno razdoblje, a sada ga terete.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</w:t>
            </w:r>
            <w:r>
              <w:rPr>
                <w:sz w:val="18"/>
              </w:rPr>
              <w:t>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232.472,30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1635,1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Najveći udio manjka u 2025. godini odnosi se na trošak plaće i prijevoza za prosinac 2025. jer je po novom Pravilniku o proračunskom računovodstvu i računskom planu ukinut konto rashoda budućih razdoblja gdje smo do sada iskazivali ove troškove te nisu ter</w:t>
      </w:r>
      <w:r>
        <w:t>etili izvještajno razdoblje, a sada ga terete.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69.383,77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142,4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Tijekom 2025. godine od nadležnog smo ministarstva po Odlukama o prijenosima dobili dosta nove računalne opreme.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</w:t>
            </w:r>
            <w:r>
              <w:rPr>
                <w:sz w:val="18"/>
              </w:rPr>
              <w:t xml:space="preserve">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520,0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Veći iznos pasivnih kamata koje nam banka obračunava po prometu na poslovnome računu u odnosu na isto izvještajno razdoblje prethodne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163.059,99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193.558,04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Povećanje u odnosu na početak godine zbog uvećavanja osnovice za obračun plaća tijekom 2025.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16.240,26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39.108,03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240,8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Porast cijena materijalnih rashoda, najviše režijskih troškova rezultirao je uvećanim iznosom tijekom 2025. godine u odnosu na početak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Zbog isplate beneficiranog radnog staža u prosincu 2025. i većeg broja transakcija obavljenih preko poslovnog računa veći je i iznos bankarskih usluga.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232.472,30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1635,1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Najveći udio manjka u 2025. godini odnosi se na trošak plaće i prijevoza za prosinac 2025. jer je po novom Pravilniku o proračunskom računovodstvu i računskom planu ukinut konto rashoda budućih razdoblja gdje smo do sada iskazivali ove troškove te nisu ter</w:t>
      </w:r>
      <w:r>
        <w:t>etili izvještajno razdoblje, a sada ga terete.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Veći iznos prenesenih potraživanja za vlastite prihode u odnosu na prenesena potraživanja iz 2024. u 2025. godinu od obavljenih usluga fotokopiranja spisa.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179.389,24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232.774,38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Najveći udio u nedospjelim obvezama poslovanja čine plaće za prosinac 2025. godine, ostatak su režijski troškovi koji će biti podmireni u siječnju 2026.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</w:t>
            </w:r>
            <w:r>
              <w:rPr>
                <w:sz w:val="18"/>
              </w:rPr>
              <w:t xml:space="preserve">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2.322.669,84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2.782.505,18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Rashodi poslovanja znatno su uvećani zbog porasta osnovice za obračun plaća pravosudnih dužnosnika, državnih službenika i namještenika te porasta cijena energenata i ostalih režijskih troškova.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31.690,23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Iznos smanjenja se odnosi na iznos amortizacije za 2025. godinu.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34.400,02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Iznos povećanja dugotrajne proizvedene imovine se odnosi na nabavu računalne opreme tijekom 2025. koja nam je od nadležnog ministarstva dostavljena i Odlukom prenesena u vlasništvo.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 xml:space="preserve">Iznos povećanja odnosi se na kupljeni sitan </w:t>
      </w:r>
      <w:proofErr w:type="spellStart"/>
      <w:r>
        <w:t>invetar</w:t>
      </w:r>
      <w:proofErr w:type="spellEnd"/>
      <w:r>
        <w:t xml:space="preserve"> tijekom 2025.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ŽDO u Osijeku nema dospjelih obveza na dan 31. prosinca 2025. godine.</w:t>
      </w:r>
    </w:p>
    <w:p w:rsidR="005A2904" w:rsidRDefault="005A2904"/>
    <w:p w:rsidR="005A2904" w:rsidRDefault="0068276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2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5A29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</w:t>
            </w:r>
            <w:r>
              <w:rPr>
                <w:sz w:val="18"/>
              </w:rPr>
              <w:t>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240.336,07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2904" w:rsidRDefault="00682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2904" w:rsidRDefault="005A2904">
      <w:pPr>
        <w:spacing w:after="0"/>
      </w:pPr>
    </w:p>
    <w:p w:rsidR="005A2904" w:rsidRDefault="00682761">
      <w:r>
        <w:t>Stanje nedospjelih obveza na dan 31.12.2025. u iznosu od 240.336,07, eura, sastoji se od:</w:t>
      </w:r>
    </w:p>
    <w:p w:rsidR="005A2904" w:rsidRDefault="00682761">
      <w:pPr>
        <w:pStyle w:val="Odlomakpopisa"/>
        <w:numPr>
          <w:ilvl w:val="0"/>
          <w:numId w:val="1"/>
        </w:numPr>
      </w:pPr>
      <w:r>
        <w:t>plaće za prosinac 2025. u iznosu od 193,558,04 eura,</w:t>
      </w:r>
    </w:p>
    <w:p w:rsidR="005A2904" w:rsidRDefault="00682761">
      <w:pPr>
        <w:pStyle w:val="Odlomakpopisa"/>
        <w:numPr>
          <w:ilvl w:val="0"/>
          <w:numId w:val="1"/>
        </w:numPr>
      </w:pPr>
      <w:r>
        <w:t>materijalnih rashoda u iznosu od       39.108,03 eura, </w:t>
      </w:r>
    </w:p>
    <w:p w:rsidR="005A2904" w:rsidRDefault="00682761">
      <w:pPr>
        <w:pStyle w:val="Odlomakpopisa"/>
        <w:numPr>
          <w:ilvl w:val="0"/>
          <w:numId w:val="1"/>
        </w:numPr>
      </w:pPr>
      <w:r>
        <w:t>financijskih rashoda  u iznosu od            108,31 euro,</w:t>
      </w:r>
    </w:p>
    <w:p w:rsidR="005A2904" w:rsidRDefault="00682761">
      <w:pPr>
        <w:pStyle w:val="Odlomakpopisa"/>
        <w:numPr>
          <w:ilvl w:val="0"/>
          <w:numId w:val="1"/>
        </w:numPr>
      </w:pPr>
      <w:r>
        <w:t xml:space="preserve">obveza za fin. </w:t>
      </w:r>
      <w:proofErr w:type="spellStart"/>
      <w:r>
        <w:t>leasing</w:t>
      </w:r>
      <w:proofErr w:type="spellEnd"/>
      <w:r>
        <w:t xml:space="preserve"> u iznosu od        6.896,58 eura,</w:t>
      </w:r>
    </w:p>
    <w:p w:rsidR="005A2904" w:rsidRDefault="00682761">
      <w:pPr>
        <w:pStyle w:val="Odlomakpopisa"/>
        <w:numPr>
          <w:ilvl w:val="0"/>
          <w:numId w:val="1"/>
        </w:numPr>
      </w:pPr>
      <w:r>
        <w:t>pasivne kamatne stope u iznosu od            0,52 eura,</w:t>
      </w:r>
    </w:p>
    <w:p w:rsidR="005A2904" w:rsidRDefault="00682761">
      <w:pPr>
        <w:pStyle w:val="Odlomakpopisa"/>
        <w:numPr>
          <w:ilvl w:val="0"/>
          <w:numId w:val="1"/>
        </w:numPr>
      </w:pPr>
      <w:r>
        <w:t>bolovanja na teret HZZO-a u i</w:t>
      </w:r>
      <w:r>
        <w:t>znosu od  664,59 eura. </w:t>
      </w:r>
    </w:p>
    <w:p w:rsidR="005A2904" w:rsidRDefault="005A2904"/>
    <w:sectPr w:rsidR="005A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F94"/>
    <w:multiLevelType w:val="hybridMultilevel"/>
    <w:tmpl w:val="97E018D2"/>
    <w:name w:val="disc"/>
    <w:lvl w:ilvl="0" w:tplc="8FCE6BFC">
      <w:start w:val="1"/>
      <w:numFmt w:val="bullet"/>
      <w:lvlText w:val="•"/>
      <w:lvlJc w:val="left"/>
      <w:pPr>
        <w:ind w:left="720" w:hanging="360"/>
      </w:pPr>
    </w:lvl>
    <w:lvl w:ilvl="1" w:tplc="FDEE371E">
      <w:start w:val="1"/>
      <w:numFmt w:val="bullet"/>
      <w:lvlText w:val="•"/>
      <w:lvlJc w:val="left"/>
      <w:pPr>
        <w:ind w:left="1440" w:hanging="360"/>
      </w:pPr>
    </w:lvl>
    <w:lvl w:ilvl="2" w:tplc="025E366C">
      <w:start w:val="1"/>
      <w:numFmt w:val="bullet"/>
      <w:lvlText w:val="•"/>
      <w:lvlJc w:val="left"/>
      <w:pPr>
        <w:ind w:left="2160" w:hanging="360"/>
      </w:pPr>
    </w:lvl>
    <w:lvl w:ilvl="3" w:tplc="1F0082F2">
      <w:start w:val="1"/>
      <w:numFmt w:val="bullet"/>
      <w:lvlText w:val="•"/>
      <w:lvlJc w:val="left"/>
      <w:pPr>
        <w:ind w:left="2880" w:hanging="360"/>
      </w:pPr>
    </w:lvl>
    <w:lvl w:ilvl="4" w:tplc="223E2C74">
      <w:start w:val="1"/>
      <w:numFmt w:val="bullet"/>
      <w:lvlText w:val="•"/>
      <w:lvlJc w:val="left"/>
      <w:pPr>
        <w:ind w:left="3600" w:hanging="360"/>
      </w:pPr>
    </w:lvl>
    <w:lvl w:ilvl="5" w:tplc="A8B4A6EC">
      <w:start w:val="1"/>
      <w:numFmt w:val="bullet"/>
      <w:lvlText w:val="•"/>
      <w:lvlJc w:val="left"/>
      <w:pPr>
        <w:ind w:left="4320" w:hanging="360"/>
      </w:pPr>
    </w:lvl>
    <w:lvl w:ilvl="6" w:tplc="3FC4B21E">
      <w:start w:val="1"/>
      <w:numFmt w:val="bullet"/>
      <w:lvlText w:val="•"/>
      <w:lvlJc w:val="left"/>
      <w:pPr>
        <w:ind w:left="5040" w:hanging="360"/>
      </w:pPr>
    </w:lvl>
    <w:lvl w:ilvl="7" w:tplc="A59E4A2C">
      <w:start w:val="1"/>
      <w:numFmt w:val="bullet"/>
      <w:lvlText w:val="•"/>
      <w:lvlJc w:val="left"/>
      <w:pPr>
        <w:ind w:left="5760" w:hanging="360"/>
      </w:pPr>
    </w:lvl>
    <w:lvl w:ilvl="8" w:tplc="E55451E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4"/>
    <w:rsid w:val="005A2904"/>
    <w:rsid w:val="006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9ED1B-4C63-48ED-8B5C-C2A9827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Briševac</dc:creator>
  <cp:lastModifiedBy>Tajana Briševac</cp:lastModifiedBy>
  <cp:revision>2</cp:revision>
  <dcterms:created xsi:type="dcterms:W3CDTF">2026-02-06T09:24:00Z</dcterms:created>
  <dcterms:modified xsi:type="dcterms:W3CDTF">2026-02-06T09:24:00Z</dcterms:modified>
</cp:coreProperties>
</file>