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B1AA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B1AA2" w:rsidRDefault="002B336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B1AA2" w:rsidRDefault="002B336B">
            <w:pPr>
              <w:spacing w:after="0" w:line="240" w:lineRule="auto"/>
            </w:pPr>
            <w:r>
              <w:t>48785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B1AA2" w:rsidRDefault="002B336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B1AA2" w:rsidRDefault="002B336B">
            <w:pPr>
              <w:spacing w:after="0" w:line="240" w:lineRule="auto"/>
            </w:pPr>
            <w:r>
              <w:t>OPĆINSKO DRŽAVNO ODVJETNIŠTVO U NOVOM ZAGREBU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B1AA2" w:rsidRDefault="002B336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B1AA2" w:rsidRDefault="002B336B">
            <w:pPr>
              <w:spacing w:after="0" w:line="240" w:lineRule="auto"/>
            </w:pPr>
            <w:r>
              <w:t>11</w:t>
            </w:r>
          </w:p>
        </w:tc>
      </w:tr>
    </w:tbl>
    <w:p w:rsidR="005B1AA2" w:rsidRDefault="002B336B">
      <w:r>
        <w:br/>
      </w:r>
    </w:p>
    <w:p w:rsidR="005B1AA2" w:rsidRDefault="002B336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B1AA2" w:rsidRDefault="002B336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B1AA2" w:rsidRDefault="002B336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1.690.900,48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2.029.805,30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1.684.194,57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2.183.759,70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5B1A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153.954,40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5B1A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5B1A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3.415,79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3.517,94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5B1A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157.472,34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Općinsko državno odvjetništvo u Novom Zagrebu je u periodu 01.01.- 31.12.2025. ostvarilo prihode u ukupnom iznosu od 2.029.805,30 eura koje čine: prihodi iz nadležnog proračuna za financiranje redovne djelatnosti u iznosu od 2.025.485,90 eura, prihodi iz n</w:t>
      </w:r>
      <w:r>
        <w:t>adležnog proračuna za financiranje rashoda za nabavu nefinancijske imovine u iznosu od 3.517,94 eura i  vlastiti prihod (usluge fotokopiranja spisa) u iznosu od 801,46 eura.  Istovremeno su u istom periodu rashodi poslovanja iznosili ukupno 2.183.759,70 eu</w:t>
      </w:r>
      <w:r>
        <w:t xml:space="preserve">ra i čine ih: 31 - rashodi za zaposlene </w:t>
      </w:r>
      <w:r>
        <w:lastRenderedPageBreak/>
        <w:t>ukupno 1.909.712,34 eura, odnosno 87,45% ukupnih rashoda;  32 - materijalni rashodi ukupno 272.786,16 eura, odnosno dodatnih 12,49% od ukupnih rashoda te 34 - financijski rashodi u ukupnom iznosu od 1.261,20 eura odn</w:t>
      </w:r>
      <w:r>
        <w:t>osno 0,06% od ukupnih rashoda. Razlika/manjak prihoda i primitaka za pokriće u slijedećem razdoblju u ukupnom iznosu od 157.472,34 eura se odnosi na manjak prihoda poslovanja u iznosu od 153.954,40 eura i manjak od financijske imovine i otplate zajmova u i</w:t>
      </w:r>
      <w:r>
        <w:t>znosu od 3.517,94 eura.  Općinsko državno odvjetništvo u Novom Zagrebu u izvještajnom periodu nema evidentirane prihode od prodaje ni rashode za nabavu nefinancijske imovine kao ni primitke odnosno izdatke od financijske imovine.</w:t>
      </w:r>
    </w:p>
    <w:p w:rsidR="005B1AA2" w:rsidRDefault="002B336B">
      <w:r>
        <w:br/>
      </w:r>
    </w:p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278,4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Radi se o vlastitim prihodima za usluge fotokopiranja spisa za odvjetnike. U odnosu na prethodnu godinu je došlo do povećanja od 178,4% jer je bilo nekoliko opsežnih predmeta sa puno dokumentacije pa je i naknada za uslugu kopiranja spisa bila značajno već</w:t>
      </w:r>
      <w:r>
        <w:t>a nego u 2024. godini.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1.687.196,77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2.025.485,90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Prihodi iz nadležnog proračuna za financiranje rashoda poslovanja su 20,1% veći nego u istom periodu prethodne godine prvenstveno radi porasta prihoda za financiranje rashoda za zaposlene, a potom i radi porasta prihoda za financiranje materijalnih izdatak</w:t>
      </w:r>
      <w:r>
        <w:t>a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za nabavu nefinancijske </w:t>
            </w:r>
            <w:r>
              <w:rPr>
                <w:sz w:val="18"/>
              </w:rPr>
              <w:t>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 xml:space="preserve">Prihodi iz nadležnog proračuna za financiranje rashoda za nabavu nefinancijske imovine su 3% veći nego u istom razdoblju prethodne godine. Radi o prihodima za financiranje rashoda s osnova </w:t>
      </w:r>
      <w:proofErr w:type="spellStart"/>
      <w:r>
        <w:t>leasinga</w:t>
      </w:r>
      <w:proofErr w:type="spellEnd"/>
      <w:r>
        <w:t xml:space="preserve"> za službeno vozilo, glavnica po Planu otplate Ugovora o fi</w:t>
      </w:r>
      <w:r>
        <w:t xml:space="preserve">nancijskom </w:t>
      </w:r>
      <w:proofErr w:type="spellStart"/>
      <w:r>
        <w:t>leasingu</w:t>
      </w:r>
      <w:proofErr w:type="spellEnd"/>
      <w:r>
        <w:t>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1.684.194,57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2.183.759,70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Ukupni rashodi poslovanja su za 29,7% veći u odnosu na isti period prethodne godine. Rasle su sve grupe rashoda: 31 - rashodi za zaposlene, 32 - materijalni rashodi i 34 - financijski rashodi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1.434.993,92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1.909.712,34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133,1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 xml:space="preserve">Rashodi za zaposlene su veći od prošlogodišnjih za 33,1% a razlozi su: povećanje osnovice plaća sukladnu dodatku Kolektivnog ugovora, usklađenje knjiženja sa Pravilnikom o proračunskom računovodstvu i računskom planu od 01.01.2025. (ukidanje kontinuiranih </w:t>
      </w:r>
      <w:r>
        <w:t>rashoda budućih razdoblja i knjiženje rashoda za zaposlene x13 u 2025.), prijem dvije nove dužnosnice tijekom godine te povećanje troška prekovremenih/dežurstava.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28.081,50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30.133,32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Rashodi za plaće za prekovremeni rad bilježe povećanje od 7,3% u odnosu na isto izvještajno razdoblje prethodne godine. Razlozi tomu su efekti povećanja osnovice dužnosnika iz H2 2024., te povećanja osnovice dvaput u 2025., sukladno kolektivnom ugovoru - š</w:t>
      </w:r>
      <w:r>
        <w:t xml:space="preserve">to za posljedicu ima veće rashode i za prekovremeni rad. Dodatno, nedostatak službenika ili njihovog izostanka (bolovanja, godišnji) se reflektira povećanjem broja prekovremenih sati te posljedično povećanju troška istih. Naravno, </w:t>
      </w:r>
      <w:proofErr w:type="spellStart"/>
      <w:r>
        <w:t>uticaj</w:t>
      </w:r>
      <w:proofErr w:type="spellEnd"/>
      <w:r>
        <w:t xml:space="preserve"> je imala i izmjena</w:t>
      </w:r>
      <w:r>
        <w:t xml:space="preserve"> Pravilnika i knjiženje 13x izdataka za prekovremene u 2025.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na plaće (šifre </w:t>
            </w:r>
            <w:r>
              <w:rPr>
                <w:sz w:val="18"/>
              </w:rPr>
              <w:t>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192.438,81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264.476,44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137,4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Doprinosi na plaće bilježe rast u ovom izvještajnom razdoblju za 37,4% u odnosu na 2024. Doprinosi na plaću posljedično rastu kako rastu bruto plaće zaposlenih.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248.061,37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272.786,16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Obveze za materijalne rashode su veće od prošlogodišnjih za 10% ponajviše radi povećanja rashoda za usluge (intelektualne usluge), povećanje troškova pošte i troškova prijevoza zaposlenih. 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30.730,41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36.557,59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Naknade za prijevoz su u 2025. veće za 19% u odnosu na prethodnu godinu. Razlog tomu je osim promjene knjiženja radi izmjene Pravilnika (13 knjiženja u 2025., a 12 knjiženja u 2024.) jer većina zaposlenih putuje na posao iz okolnih gradova ili okolnih župa</w:t>
      </w:r>
      <w:r>
        <w:t>nija pa su troškovi prijevoza veći. U 2025. povećani efekt na prijevoz su imala putovanja kolega iz Ispostave u Samoboru na ispomoć u ODO u Novom Zagrebu zbog nedostatka službenika. Dodatno na ovom Odvjetništvu za kolege koji rade u Samoboru a gdje je prij</w:t>
      </w:r>
      <w:r>
        <w:t>evoz gratis su se polovicom 2025. počeli obračunavati i plaćati porez i doprinosi a sukladno Uputi Porezne uprave.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1186,9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lastRenderedPageBreak/>
        <w:t>Na ovom trošku je došlo do značajnog povećanja zbog izmjena brava na ulaznim vratima odvjetništva te zamjene  kondenzatora na sustavu centralne klimatizacije.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16.784,50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21.587,21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Porast se odnosi uglavnom na rast troškova HP radi povećanja cijena poštanskih usluga.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8000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Ovaj trošak je značajno veći u 2025. jer su pravo na sistematski pregled stekli i dužnosnici, novozaposleni i osobe iznad 50 godina (svake 2 godine), a čega nije bilo u prethodnom izvještajnom razdoblju.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682,1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Ovaj trošak je značajno rastao jer je u tijeku usklade utvrđeno da za usluge preventivnih pregleda instalacija i okoliša nikada nisu bili zaprimljeni računi u prethodnoj godini, te su isti plaćeni u 2025.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Odvjetništvo je u tijeku 2025. počelo plaćati HRT pristojbu za radio u službenom vozilu.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58,7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 xml:space="preserve">Trošak kamata po Ugovoru o </w:t>
      </w:r>
      <w:proofErr w:type="spellStart"/>
      <w:r>
        <w:t>leasingu</w:t>
      </w:r>
      <w:proofErr w:type="spellEnd"/>
      <w:r>
        <w:t xml:space="preserve"> za službeni auto je u 2025. godini manji za 41,3% u odnosu na prethodnu godinu jer je otplata </w:t>
      </w:r>
      <w:proofErr w:type="spellStart"/>
      <w:r>
        <w:t>leasinga</w:t>
      </w:r>
      <w:proofErr w:type="spellEnd"/>
      <w:r>
        <w:t xml:space="preserve"> ušla u zadnju godinu pa se kamata smanjuje.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125,1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Povećanje od 25,1% u 2025. u odnosu na prethodnu godinu je nastalo zbog plaćanja jednokratne naknade za uvođenje internet bankarstva u siječnju 2025., kao i zbog poskupljenja usluga platnog prometa.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5B1A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153.954,40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Ukupan manjak prihoda čini razlika između ukupnih prihoda i ukupnih rashoda u 2025. godini i iznosi ukupno 153.954,40 eura.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5B1A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3.869,10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161.341,44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4170,0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Manjak prihoda i primitaka za pokriće u slijedećem razdoblju u iznosu od 161.341,44 eura čine:</w:t>
      </w:r>
    </w:p>
    <w:p w:rsidR="005B1AA2" w:rsidRDefault="002B336B">
      <w:r>
        <w:t>•         manjak prihoda i primitaka u iznosu od 157.472,34 eura</w:t>
      </w:r>
    </w:p>
    <w:p w:rsidR="005B1AA2" w:rsidRDefault="002B336B">
      <w:r>
        <w:lastRenderedPageBreak/>
        <w:t>•         manjak prihoda i primitaka - preneseni u iznosu od 3.869,10 eura</w:t>
      </w:r>
    </w:p>
    <w:p w:rsidR="005B1AA2" w:rsidRDefault="002B336B">
      <w:r>
        <w:t>Manjak je značajno ve</w:t>
      </w:r>
      <w:r>
        <w:t xml:space="preserve">ći od prošlogodišnjeg zbog izmjena knjiženja rashoda za zaposlene </w:t>
      </w:r>
      <w:proofErr w:type="spellStart"/>
      <w:r>
        <w:t>tj</w:t>
      </w:r>
      <w:proofErr w:type="spellEnd"/>
      <w:r>
        <w:t xml:space="preserve"> ukidanje konta 193 - kontinuirani rashodi budućih razdoblja pa se u početnom stanju navedeno evidentiralo na rashode za zaposlene 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38.073,03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57.571,29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151,2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Porast u 2025. je zbog nabavke novih računala i kompleta za skeniranje, ustup bez naknade MPUDT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10.773,54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14.175,71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131,6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Porast od 31,6% u odnosu na isto izvještajno razdoblje prethodne godine je zbog knjiženja ispravka vrijednosti za službeno vozilo za 2025. godinu.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7.601,47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9.453,70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 xml:space="preserve">Konto sitnog inventara i </w:t>
      </w:r>
      <w:proofErr w:type="spellStart"/>
      <w:r>
        <w:t>autoguma</w:t>
      </w:r>
      <w:proofErr w:type="spellEnd"/>
      <w:r>
        <w:t xml:space="preserve"> je veći za 24,4% u odnosu na prethodno izvještajno razdoblje radi nabavke novih guma za službeno vozilo, novih mobitela sukladno Ugovoru o javnoj nabavi za pokretnu komunikacijsku mrežu i opremu, te velikog broja SSD disko</w:t>
      </w:r>
      <w:r>
        <w:t>va radi pojačanja dotrajalih računala tijekom godine, obzirom su nova računala zaprimljena krajem 12/2025.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Financijska imovina (šifre </w:t>
            </w:r>
            <w:r>
              <w:rPr>
                <w:sz w:val="18"/>
              </w:rPr>
              <w:t>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125.497,46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3,7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Financijska imovina je značajno manja jer su u istom razdoblju prethodne godine u istu bili evidentirani i kontinuirani rashodi budućih razdoblja (193) kojih u 2025. nema radi izmjene načina evidencije obračuna rashoda za zaposlene sukladno novom Pravilnik</w:t>
      </w:r>
      <w:r>
        <w:t>u o proračunskom računovodstvu i računskom planu.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2.130,74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214,9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Ovaj iznos čine potraživanja od HZZO za refundaciju bolovanja po:</w:t>
      </w:r>
    </w:p>
    <w:p w:rsidR="005B1AA2" w:rsidRDefault="002B336B">
      <w:pPr>
        <w:pStyle w:val="Odlomakpopisa"/>
        <w:numPr>
          <w:ilvl w:val="0"/>
          <w:numId w:val="1"/>
        </w:numPr>
      </w:pPr>
      <w:r>
        <w:t>plaći za 10/25 u iznosu od 1.872,22 eura</w:t>
      </w:r>
    </w:p>
    <w:p w:rsidR="005B1AA2" w:rsidRDefault="002B336B">
      <w:pPr>
        <w:pStyle w:val="Odlomakpopisa"/>
        <w:numPr>
          <w:ilvl w:val="0"/>
          <w:numId w:val="1"/>
        </w:numPr>
      </w:pPr>
      <w:r>
        <w:t>plaći za 11/25 u iznosu od 1.371,98 eura</w:t>
      </w:r>
    </w:p>
    <w:p w:rsidR="005B1AA2" w:rsidRDefault="002B336B">
      <w:pPr>
        <w:pStyle w:val="Odlomakpopisa"/>
        <w:numPr>
          <w:ilvl w:val="0"/>
          <w:numId w:val="1"/>
        </w:numPr>
      </w:pPr>
      <w:r>
        <w:t>plaći za 12/25 u iznosu od 1.334,64 eura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178,0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Radi se o vlastitim prihodima koja su uplaćena u Državni proračun krajem 12/25 i biti će povučena u 2026. godini.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120.695,29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154.986,77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Obveze za zaposlene iznose 154.986,77 eura i čine ih:</w:t>
      </w:r>
    </w:p>
    <w:p w:rsidR="005B1AA2" w:rsidRDefault="002B336B">
      <w:pPr>
        <w:pStyle w:val="Odlomakpopisa"/>
        <w:numPr>
          <w:ilvl w:val="0"/>
          <w:numId w:val="1"/>
        </w:numPr>
      </w:pPr>
      <w:r>
        <w:t>obveze za bruto plaću za 12/2025 u iznosu od 132.569,93 eura</w:t>
      </w:r>
    </w:p>
    <w:p w:rsidR="005B1AA2" w:rsidRDefault="002B336B">
      <w:pPr>
        <w:pStyle w:val="Odlomakpopisa"/>
        <w:numPr>
          <w:ilvl w:val="0"/>
          <w:numId w:val="1"/>
        </w:numPr>
      </w:pPr>
      <w:r>
        <w:lastRenderedPageBreak/>
        <w:t>doprinosi na plaću za 12/2025 u iznosu od 21.675,40 eura</w:t>
      </w:r>
    </w:p>
    <w:p w:rsidR="005B1AA2" w:rsidRDefault="002B336B">
      <w:pPr>
        <w:pStyle w:val="Odlomakpopisa"/>
        <w:numPr>
          <w:ilvl w:val="0"/>
          <w:numId w:val="1"/>
        </w:numPr>
      </w:pPr>
      <w:r>
        <w:t>ostali rashodi za zaposlene za 12/2025 u iznosu od 741,44 eura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6.540,39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7.615,22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Obveze za materijalne rashode su 16,4% veće nego u 2024. i iznose ukupno 7.615,22 eura jer smo dosta obveza na knjiženje zaprimili nakon Zahtjeva za povlačenje sredstava iz riznice te se u naravi radi o obvezama koje se odnose na kraj prosinca 2025., a koj</w:t>
      </w:r>
      <w:r>
        <w:t>e dospijevaju na plaćanje u siječnju 2026. Čine ih:</w:t>
      </w:r>
    </w:p>
    <w:p w:rsidR="005B1AA2" w:rsidRDefault="002B336B">
      <w:pPr>
        <w:pStyle w:val="Odlomakpopisa"/>
        <w:numPr>
          <w:ilvl w:val="0"/>
          <w:numId w:val="1"/>
        </w:numPr>
        <w:jc w:val="both"/>
      </w:pPr>
      <w:r>
        <w:t>prijevoz za 12/25 u iznosu od 2.763,09 eura</w:t>
      </w:r>
    </w:p>
    <w:p w:rsidR="005B1AA2" w:rsidRDefault="002B336B">
      <w:pPr>
        <w:pStyle w:val="Odlomakpopisa"/>
        <w:numPr>
          <w:ilvl w:val="0"/>
          <w:numId w:val="1"/>
        </w:numPr>
        <w:jc w:val="both"/>
      </w:pPr>
      <w:r>
        <w:t>rashodi za materijal i energiju u iznosu od 191,39 eura</w:t>
      </w:r>
    </w:p>
    <w:p w:rsidR="005B1AA2" w:rsidRDefault="002B336B">
      <w:pPr>
        <w:pStyle w:val="Odlomakpopisa"/>
        <w:numPr>
          <w:ilvl w:val="0"/>
          <w:numId w:val="1"/>
        </w:numPr>
        <w:jc w:val="both"/>
      </w:pPr>
      <w:r>
        <w:t>rashodi za usluge u iznosu od 4.660,74 eura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46,1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 xml:space="preserve">Obveze se odnose na otplatu </w:t>
      </w:r>
      <w:proofErr w:type="spellStart"/>
      <w:r>
        <w:t>leasinga</w:t>
      </w:r>
      <w:proofErr w:type="spellEnd"/>
      <w:r>
        <w:t xml:space="preserve"> za službeni auto. Razliku između stanja 31.12.2024. i 31.12.2025. čini otplata glavnice po Planu otplate u 2025. u iznosu od 3.517,94 eura. Saldo na dan 31.12.2025. u iznosu od 3.012,58 eura je iznos koji je preostao za</w:t>
      </w:r>
      <w:r>
        <w:t xml:space="preserve"> otplatu u 2026. godini, kada </w:t>
      </w:r>
      <w:proofErr w:type="spellStart"/>
      <w:r>
        <w:t>leasing</w:t>
      </w:r>
      <w:proofErr w:type="spellEnd"/>
      <w:r>
        <w:t xml:space="preserve"> i ističe.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153,2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Saldo ovih obveza u iznosu od 608,29 eura čine:</w:t>
      </w:r>
    </w:p>
    <w:p w:rsidR="005B1AA2" w:rsidRDefault="002B336B">
      <w:pPr>
        <w:pStyle w:val="Odlomakpopisa"/>
        <w:numPr>
          <w:ilvl w:val="0"/>
          <w:numId w:val="1"/>
        </w:numPr>
        <w:jc w:val="both"/>
      </w:pPr>
      <w:r>
        <w:t xml:space="preserve">uplaćene pasivne (a </w:t>
      </w:r>
      <w:proofErr w:type="spellStart"/>
      <w:r>
        <w:t>vista</w:t>
      </w:r>
      <w:proofErr w:type="spellEnd"/>
      <w:r>
        <w:t xml:space="preserve">) kamate HPB za razdoblje 01.10.2025. - 31.12.2025. u iznosu od 0,05 eura, koje su doznačene u IBAN odvjetništva na kraju dana 31.12.2025., a koje će u siječnju 2026. biti uplaćene u </w:t>
      </w:r>
      <w:r>
        <w:t>Državni proračun </w:t>
      </w:r>
    </w:p>
    <w:p w:rsidR="005B1AA2" w:rsidRDefault="002B336B">
      <w:pPr>
        <w:pStyle w:val="Odlomakpopisa"/>
        <w:numPr>
          <w:ilvl w:val="0"/>
          <w:numId w:val="1"/>
        </w:numPr>
        <w:jc w:val="both"/>
      </w:pPr>
      <w:r>
        <w:t>obveze za uplatu u Državni proračun refundacije bolovanja HZZO u iznosu od 3.265,00 eura koje će biti doznačene/knjižene kada HZZO izvrši plaćanje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136.355,09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136.355,09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navedeno se odnosi na rezervirana sredstva za isplatu beneficiranog staža zaposlenika 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1.684.194,57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2.183.759,70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Rashodi prema funkcijskoj klasifikaciji pod šifrom javni red i sigurnost, Sudovi u 2025. iznose 2.183.759,70 eura i oni su za 29,7% veći u odnosu na isto izvještajno razdoblje prethodne godine. Razlog povećanju je najvećim dijelom u povećanju rashoda za za</w:t>
      </w:r>
      <w:r>
        <w:t>poslene, te manjim dijelom u povećanju materijalnih i financijskih rashoda.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5B1A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30.582,34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11.084,08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36,2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Promjene u vrijednosti i obujmu imovine su unijete kao iznos povećanja za novonabavljenu proizvedenu dugotrajnu imovinu te iznos smanjenja u iznosu ispravka vrijednosti za 2025.</w:t>
      </w:r>
    </w:p>
    <w:p w:rsidR="005B1AA2" w:rsidRDefault="002B336B">
      <w:r>
        <w:t>Povećanje obujma imovine u iznosu od 30.582,34 eura čine:</w:t>
      </w:r>
    </w:p>
    <w:p w:rsidR="005B1AA2" w:rsidRDefault="002B336B">
      <w:pPr>
        <w:pStyle w:val="Odlomakpopisa"/>
        <w:numPr>
          <w:ilvl w:val="0"/>
          <w:numId w:val="1"/>
        </w:numPr>
      </w:pPr>
      <w:r>
        <w:t>2 kompleta za skeniranje za potrebe digitalizacije arhive jedinične cijene od 4.289,10 eura (ustup bez naknade MPUDT)</w:t>
      </w:r>
    </w:p>
    <w:p w:rsidR="005B1AA2" w:rsidRDefault="002B336B">
      <w:pPr>
        <w:pStyle w:val="Odlomakpopisa"/>
        <w:numPr>
          <w:ilvl w:val="0"/>
          <w:numId w:val="1"/>
        </w:numPr>
      </w:pPr>
      <w:r>
        <w:t>19 novih računala u iznosu od 22.004,14 eura</w:t>
      </w:r>
    </w:p>
    <w:p w:rsidR="005B1AA2" w:rsidRDefault="002B336B">
      <w:r>
        <w:t>Smanjenje obujma imovine u iznosu o</w:t>
      </w:r>
      <w:r>
        <w:t>d 11.084,08 eura čini ispravak vrijednosti za 2025. 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1.797.767,52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aktivna i pasivna dežurstva, ostali rashodi za zaposlene i doprinosi za obavezno zdravstveno osiguranje. Povećanje osnovice dužnosnika i prava po KU je uzrokovalo povećanje plaća za redovan rad a njihovim rastom linearno rast onda i troškovi za prekovremen</w:t>
      </w:r>
      <w:r>
        <w:t>i rad i doprinosi na zdravstveno osiguranje. Najveći efekt na ove obveze je imalo usklađenje knjiženja sa novim Pravilnikom o proračunskom računovodstvu i računskom planu jer su u ove obveze knjižene u  početnom stanju 2025 i obveze za 12/2024.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3</w:t>
      </w:r>
      <w:r>
        <w:rPr>
          <w:sz w:val="28"/>
        </w:rPr>
        <w:t>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269.705,92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t>Obveze za materijalne rashode iznose 269.705,92 eura dok su u istom periodu prošle godine iznosile 135.897,08 eura. Na povećanje najveći utjecaj ima trošak intelektualnih usluga u ovoj godini u odnosu na isto razdoblje prethodne godine, kao i trošak prijev</w:t>
      </w:r>
      <w:r>
        <w:t>oza, zdravstvenih pregleda i poštanskih usluga.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Obveze za financijske rashode iznose 1.261,20 eura dok su na kraju prošle godine iznosile 1.139,28 eura, što nije neki značajni rast jer je uz poskupljenje troškova platnog prometa i jednokratne naknade za uvođenje internet bankarstva, koja je plaćena u 01</w:t>
      </w:r>
      <w:r>
        <w:t>/2025 sveukupno u 2025 bilo nešto manje naloga za plaćanje.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5B1A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B1AA2" w:rsidRDefault="005B1AA2">
      <w:pPr>
        <w:spacing w:after="0"/>
      </w:pPr>
    </w:p>
    <w:p w:rsidR="005B1AA2" w:rsidRDefault="002B336B">
      <w:r>
        <w:lastRenderedPageBreak/>
        <w:t>Općinsko državno odvjetništvo u Novom zagrebu nema dospjelih obveza na kraju izvještajnog razdoblja 01.01.2025. - 31.12.2025.  Sve obveze u iznosu od 168.950,71 eura su u cijelosti nedospjele na dan 31.12.2025., odnosno dospijevaju u 2026. godini.</w:t>
      </w:r>
    </w:p>
    <w:p w:rsidR="005B1AA2" w:rsidRDefault="005B1AA2"/>
    <w:p w:rsidR="005B1AA2" w:rsidRDefault="002B336B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B1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1A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5B1A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168.950,71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1AA2" w:rsidRDefault="002B3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B1AA2" w:rsidRDefault="005B1AA2">
      <w:pPr>
        <w:spacing w:after="0"/>
      </w:pPr>
    </w:p>
    <w:p w:rsidR="005B1AA2" w:rsidRDefault="002B336B">
      <w:pPr>
        <w:jc w:val="both"/>
      </w:pPr>
      <w:r>
        <w:t>Saldo nedospjelih obveza čine međusobne obveze subjekata općeg proračuna u iznosu od 3.265,05 eura, obveze za rashode poslovanja u iznosu od 162.673,08 eura i obveze za financijsku imovinu u iznosu od 3.012,58 eura.</w:t>
      </w:r>
    </w:p>
    <w:p w:rsidR="005B1AA2" w:rsidRDefault="005B1AA2"/>
    <w:sectPr w:rsidR="005B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0BB4"/>
    <w:multiLevelType w:val="hybridMultilevel"/>
    <w:tmpl w:val="5D98F3D0"/>
    <w:name w:val="disc"/>
    <w:lvl w:ilvl="0" w:tplc="3DD0D09E">
      <w:start w:val="1"/>
      <w:numFmt w:val="bullet"/>
      <w:lvlText w:val="•"/>
      <w:lvlJc w:val="left"/>
      <w:pPr>
        <w:ind w:left="720" w:hanging="360"/>
      </w:pPr>
    </w:lvl>
    <w:lvl w:ilvl="1" w:tplc="D8363B7E">
      <w:start w:val="1"/>
      <w:numFmt w:val="bullet"/>
      <w:lvlText w:val="•"/>
      <w:lvlJc w:val="left"/>
      <w:pPr>
        <w:ind w:left="1440" w:hanging="360"/>
      </w:pPr>
    </w:lvl>
    <w:lvl w:ilvl="2" w:tplc="AFC0CD4E">
      <w:start w:val="1"/>
      <w:numFmt w:val="bullet"/>
      <w:lvlText w:val="•"/>
      <w:lvlJc w:val="left"/>
      <w:pPr>
        <w:ind w:left="2160" w:hanging="360"/>
      </w:pPr>
    </w:lvl>
    <w:lvl w:ilvl="3" w:tplc="E98C4AE8">
      <w:start w:val="1"/>
      <w:numFmt w:val="bullet"/>
      <w:lvlText w:val="•"/>
      <w:lvlJc w:val="left"/>
      <w:pPr>
        <w:ind w:left="2880" w:hanging="360"/>
      </w:pPr>
    </w:lvl>
    <w:lvl w:ilvl="4" w:tplc="09683B2A">
      <w:start w:val="1"/>
      <w:numFmt w:val="bullet"/>
      <w:lvlText w:val="•"/>
      <w:lvlJc w:val="left"/>
      <w:pPr>
        <w:ind w:left="3600" w:hanging="360"/>
      </w:pPr>
    </w:lvl>
    <w:lvl w:ilvl="5" w:tplc="03982514">
      <w:start w:val="1"/>
      <w:numFmt w:val="bullet"/>
      <w:lvlText w:val="•"/>
      <w:lvlJc w:val="left"/>
      <w:pPr>
        <w:ind w:left="4320" w:hanging="360"/>
      </w:pPr>
    </w:lvl>
    <w:lvl w:ilvl="6" w:tplc="F9A00D2C">
      <w:start w:val="1"/>
      <w:numFmt w:val="bullet"/>
      <w:lvlText w:val="•"/>
      <w:lvlJc w:val="left"/>
      <w:pPr>
        <w:ind w:left="5040" w:hanging="360"/>
      </w:pPr>
    </w:lvl>
    <w:lvl w:ilvl="7" w:tplc="A8400ED8">
      <w:start w:val="1"/>
      <w:numFmt w:val="bullet"/>
      <w:lvlText w:val="•"/>
      <w:lvlJc w:val="left"/>
      <w:pPr>
        <w:ind w:left="5760" w:hanging="360"/>
      </w:pPr>
    </w:lvl>
    <w:lvl w:ilvl="8" w:tplc="BB66BB9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A2"/>
    <w:rsid w:val="002B336B"/>
    <w:rsid w:val="005B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EE912-3188-4BBD-AD1D-3CF98739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 Barić</dc:creator>
  <cp:lastModifiedBy>Smiljana Barić</cp:lastModifiedBy>
  <cp:revision>2</cp:revision>
  <dcterms:created xsi:type="dcterms:W3CDTF">2026-02-10T16:49:00Z</dcterms:created>
  <dcterms:modified xsi:type="dcterms:W3CDTF">2026-02-10T16:49:00Z</dcterms:modified>
</cp:coreProperties>
</file>