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72FD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72FD3" w:rsidRDefault="00D04F1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72FD3" w:rsidRDefault="00D04F1D">
            <w:pPr>
              <w:spacing w:after="0" w:line="240" w:lineRule="auto"/>
            </w:pPr>
            <w:r>
              <w:t>4526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72FD3" w:rsidRDefault="00D04F1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72FD3" w:rsidRDefault="00D04F1D">
            <w:pPr>
              <w:spacing w:after="0" w:line="240" w:lineRule="auto"/>
            </w:pPr>
            <w:r>
              <w:t>OPĆINSKO DRŽAVNO ODVJETNIŠTVO U ČAKOVCU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72FD3" w:rsidRDefault="00D04F1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72FD3" w:rsidRDefault="00D04F1D">
            <w:pPr>
              <w:spacing w:after="0" w:line="240" w:lineRule="auto"/>
            </w:pPr>
            <w:r>
              <w:t>11</w:t>
            </w:r>
          </w:p>
        </w:tc>
      </w:tr>
    </w:tbl>
    <w:p w:rsidR="00372FD3" w:rsidRDefault="00D04F1D">
      <w:r>
        <w:br/>
      </w:r>
    </w:p>
    <w:p w:rsidR="00372FD3" w:rsidRDefault="00D04F1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72FD3" w:rsidRDefault="00D04F1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72FD3" w:rsidRDefault="00D04F1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72FD3" w:rsidRDefault="00372FD3"/>
    <w:p w:rsidR="00372FD3" w:rsidRDefault="00D04F1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72FD3" w:rsidRDefault="00D04F1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2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1.393.416,09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1.324.298,32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1.167.517,35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1.226.438,08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372F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225.898,74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97.860,24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43,3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232.740,30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160.225,66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68,8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372F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232.740,30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160.225,66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68,8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372F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3.190,75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3.328,91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104,3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372F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10.032,31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65.694,33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654,8</w:t>
            </w:r>
          </w:p>
        </w:tc>
      </w:tr>
    </w:tbl>
    <w:p w:rsidR="00372FD3" w:rsidRDefault="00372FD3">
      <w:pPr>
        <w:spacing w:after="0"/>
      </w:pPr>
    </w:p>
    <w:p w:rsidR="00372FD3" w:rsidRDefault="00D04F1D" w:rsidP="007920AB">
      <w:pPr>
        <w:jc w:val="both"/>
      </w:pPr>
      <w:r>
        <w:t>Ostvareni prihodi poslovanja u izvještajnom razdoblju ostvareni su za 5% smanjeni u odnosu na ostvareno u izvještajnom razdoblju prethodne godine, a odnose se na doznačena sredstva za:</w:t>
      </w:r>
    </w:p>
    <w:p w:rsidR="00372FD3" w:rsidRDefault="00D04F1D" w:rsidP="007920AB">
      <w:pPr>
        <w:jc w:val="both"/>
      </w:pPr>
      <w:r>
        <w:t> </w:t>
      </w:r>
    </w:p>
    <w:p w:rsidR="00372FD3" w:rsidRDefault="00D04F1D" w:rsidP="007920AB">
      <w:pPr>
        <w:jc w:val="both"/>
      </w:pPr>
      <w:r>
        <w:t>- Prihode od pruženih usluga, ŠIFRA 6615</w:t>
      </w:r>
    </w:p>
    <w:p w:rsidR="00372FD3" w:rsidRDefault="00D04F1D" w:rsidP="007920AB">
      <w:pPr>
        <w:jc w:val="both"/>
      </w:pPr>
      <w:r>
        <w:lastRenderedPageBreak/>
        <w:t> </w:t>
      </w:r>
    </w:p>
    <w:p w:rsidR="00372FD3" w:rsidRDefault="00D04F1D" w:rsidP="007920AB">
      <w:pPr>
        <w:jc w:val="both"/>
      </w:pPr>
      <w:r>
        <w:t>- vlastiti prihodi od pruž</w:t>
      </w:r>
      <w:r>
        <w:t>enih usluga preslike dokumenata i umnožavanja snimaka na optičkom mediju ostvareni su u iznosu od 441,33 eura, u odnosu na prethodnu godinu (286,53 eura) uvećani za 54%, iako se ne radi o nekom većem iznosu sredstava, koja sredstva su sukladno čl. 54. Zako</w:t>
      </w:r>
      <w:r>
        <w:t>na o proračunu ("Narodne novine", broj 144/21.), uplaćena u cijelosti u državni proračun te ujedno doznačen iz DP za plaćanje tekućih rashoda unutar redovne djelatnosti. </w:t>
      </w:r>
    </w:p>
    <w:p w:rsidR="00372FD3" w:rsidRDefault="00D04F1D" w:rsidP="007920AB">
      <w:pPr>
        <w:jc w:val="both"/>
      </w:pPr>
      <w:r>
        <w:t> </w:t>
      </w:r>
    </w:p>
    <w:p w:rsidR="00372FD3" w:rsidRDefault="00D04F1D" w:rsidP="007920AB">
      <w:pPr>
        <w:jc w:val="both"/>
      </w:pPr>
      <w:r>
        <w:t>- Prihode iz nadležnog proračuna (riznice) za financiranje rashoda poslovanja, ŠIFR</w:t>
      </w:r>
      <w:r>
        <w:t>A 6711</w:t>
      </w:r>
    </w:p>
    <w:p w:rsidR="00372FD3" w:rsidRDefault="00D04F1D" w:rsidP="007920AB">
      <w:pPr>
        <w:jc w:val="both"/>
      </w:pPr>
      <w:r>
        <w:t> </w:t>
      </w:r>
    </w:p>
    <w:p w:rsidR="00372FD3" w:rsidRDefault="00D04F1D" w:rsidP="007920AB">
      <w:pPr>
        <w:jc w:val="both"/>
      </w:pPr>
      <w:r>
        <w:t>             - prihodi iz proračuna za rashode poslovanja ostvareni su u ukupnom iznosu od 1.149.512,56 eura, umanjeni za 1,6% u odnosu na prethodnu godinu, od čega za rashode za zaposlene 877.380,07 eura i 272.131,86 eura za materijalne i financi</w:t>
      </w:r>
      <w:r>
        <w:t>jske rashode, evidentirana na računu 6711, </w:t>
      </w:r>
    </w:p>
    <w:p w:rsidR="00372FD3" w:rsidRDefault="00D04F1D" w:rsidP="007920AB">
      <w:pPr>
        <w:jc w:val="both"/>
      </w:pPr>
      <w:r>
        <w:t> </w:t>
      </w:r>
    </w:p>
    <w:p w:rsidR="00372FD3" w:rsidRDefault="00D04F1D" w:rsidP="007920AB">
      <w:pPr>
        <w:jc w:val="both"/>
      </w:pPr>
      <w:r>
        <w:t xml:space="preserve">     -  Prihode iz nadležnog proračuna (riznice) za financiranje rashoda za nabavu nefinancijske imovine ŠIFRA 6712, u ukupnom iznosu od 174.344,06 eura, koji su ostvareni u manjem iznosu u odnosu na prethodnu </w:t>
      </w:r>
      <w:r>
        <w:t xml:space="preserve">godinu zbog manjeg iznosa potrebnog za dodatno investicijsko ulaganje u poslovni prostor, dok je povećanje kod prihoda za nabavu uredske opreme kao i otplate glavnice financijskog </w:t>
      </w:r>
      <w:proofErr w:type="spellStart"/>
      <w:r>
        <w:t>leasinga</w:t>
      </w:r>
      <w:proofErr w:type="spellEnd"/>
      <w:r>
        <w:t>, ranije nabavljenog vozila</w:t>
      </w:r>
    </w:p>
    <w:p w:rsidR="00372FD3" w:rsidRDefault="00D04F1D" w:rsidP="007920AB">
      <w:pPr>
        <w:jc w:val="both"/>
      </w:pPr>
      <w:r>
        <w:t xml:space="preserve">- prihodi iz proračuna za financijski </w:t>
      </w:r>
      <w:proofErr w:type="spellStart"/>
      <w:r>
        <w:t>le</w:t>
      </w:r>
      <w:r>
        <w:t>asing</w:t>
      </w:r>
      <w:proofErr w:type="spellEnd"/>
      <w:r>
        <w:t xml:space="preserve"> za vozilo ostvareni su u iznosu od 3.328,91 eura</w:t>
      </w:r>
    </w:p>
    <w:p w:rsidR="00372FD3" w:rsidRDefault="00D04F1D" w:rsidP="007920AB">
      <w:pPr>
        <w:jc w:val="both"/>
      </w:pPr>
      <w:r>
        <w:t>- prihodi iz proračuna za nabavu opreme ostvareni su u iznosu od 5.292,72 eura i</w:t>
      </w:r>
    </w:p>
    <w:p w:rsidR="00372FD3" w:rsidRDefault="00D04F1D" w:rsidP="007920AB">
      <w:pPr>
        <w:jc w:val="both"/>
      </w:pPr>
      <w:r>
        <w:t>- prihodi iz proračuna za dodatna ulaganja na građevinskim objektima ostvareni su u iznosu od 165.722,43 eura.</w:t>
      </w:r>
    </w:p>
    <w:p w:rsidR="00372FD3" w:rsidRDefault="00D04F1D" w:rsidP="007920AB">
      <w:pPr>
        <w:jc w:val="both"/>
      </w:pPr>
      <w:r>
        <w:t>- Prihode</w:t>
      </w:r>
      <w:r>
        <w:t xml:space="preserve"> od kamata po viđenju u iznosu od 0,37 eura (ŠIFRA 6413).</w:t>
      </w:r>
    </w:p>
    <w:p w:rsidR="00372FD3" w:rsidRDefault="00D04F1D" w:rsidP="007920AB">
      <w:pPr>
        <w:jc w:val="both"/>
      </w:pPr>
      <w:r>
        <w:t>Ostvareni rashodi poslovanja u izvještajnom razdoblju iznose 1.226.438,08 eura što je u odnosu na ostvareno u izvještajnom razdoblju prethodne godine povećanje od 5%, od čega rashodi za zaposlene (Š</w:t>
      </w:r>
      <w:r>
        <w:t>IFRA 31) 954.170,84 eura, materijalni rashodi (ŠIFRA 32) 271.135,42 eura i financijski rashodi (ŠIFRA 34) 1.131,82 eura.</w:t>
      </w:r>
    </w:p>
    <w:p w:rsidR="00372FD3" w:rsidRDefault="00D04F1D" w:rsidP="007920AB">
      <w:pPr>
        <w:jc w:val="both"/>
      </w:pPr>
      <w:r>
        <w:t>Rashodi za zaposlene ostvareni u iznosu od 954.170,84 eura, uvećani su za 8% u odnosu na ostvareno u izvještajnom razdoblju prethodne g</w:t>
      </w:r>
      <w:r>
        <w:t>odine, kod čega se navodi da su sukladno novom Pravilniku o proračunskom računovodstvu i Računskom planu ("Narodne novine" broj 158/23. i 154/24.) i Uputi o primjeni novog Pravilnika i knjigovodstvenom evidentiranju poslovnih događaja od 1. siječnja 2025.,</w:t>
      </w:r>
      <w:r>
        <w:t xml:space="preserve"> a budući se kontinuirani rashodi više ne razgraničavaju, u poslovnim knjigama evidentirana rashodi za plaću i naknadu prijevoza na posao i s posla za mjesec prosinac 2025. i stoga iskazana u Financijskom izvještaju za obračunsko razdoblje.</w:t>
      </w:r>
    </w:p>
    <w:p w:rsidR="00372FD3" w:rsidRDefault="00D04F1D" w:rsidP="007920AB">
      <w:pPr>
        <w:jc w:val="both"/>
      </w:pPr>
      <w:r>
        <w:t xml:space="preserve">Tijekom obračunskog razdoblja nabavljena je ostala uredska oprema u iznosu od 5.292,72 eura (ŠIFRA 4221) za potrebe opremanja novog poslovnog prostora na istoj lokaciji, koji je </w:t>
      </w:r>
      <w:r>
        <w:lastRenderedPageBreak/>
        <w:t>Odlukom Ministarstva pravosuđa, uprave i digitalne transformacije dodijeljen n</w:t>
      </w:r>
      <w:r>
        <w:t>a uporabu Općinskom državnom odvjetništvu u Čakovcu.</w:t>
      </w:r>
    </w:p>
    <w:p w:rsidR="00372FD3" w:rsidRDefault="00D04F1D" w:rsidP="007920AB">
      <w:pPr>
        <w:jc w:val="both"/>
      </w:pPr>
      <w:r>
        <w:t>Ministarstvo pravosuđa, uprave i digitalne transformacije ovom državnom odvjetništvu Financijskim planom za 2024. i 2025. do 2026 godinu, kao i za naredno razdoblje Financijskim planom za 2025. i 2026. d</w:t>
      </w:r>
      <w:r>
        <w:t>o 2027. godinu, osiguralo potrebna sredstva za adaptaciju poslovnog prostora, adaptacija kojeg je započela tijekom 2024. godine, adaptacijom krovišta i stolarije, sukladno Glavnom projektu, dok je tijekom 2025. godine proveden novi postupak javne nabave ra</w:t>
      </w:r>
      <w:r>
        <w:t>dova na adaptaciji poslovnog prostora na sanaciji stubišta i stepenica te dvorišnog prostora i ulaznog dijela u zgradu, te su na stavci (ŠIFRA 451) evidentirani rashodi za dodatna ulaganja na građevinskim objektima u iznosu od 154.932,94 eura.</w:t>
      </w:r>
    </w:p>
    <w:p w:rsidR="00372FD3" w:rsidRDefault="00D04F1D" w:rsidP="007920AB">
      <w:pPr>
        <w:jc w:val="both"/>
      </w:pPr>
      <w:r>
        <w:t>U obračunsko</w:t>
      </w:r>
      <w:r>
        <w:t>m razdoblju ostvaren je višak prihoda poslovanja u iznosu od 97.860,24 eura (ŠIFRA X001), manjak prihoda od nefinancijske imovine od 160.225,66 eura (ŠIFRA Y002) te manjak primitaka od financijske imovine i zaduživanja u iznosu od 3.328,91 eura (ŠIFRA Y003</w:t>
      </w:r>
      <w:r>
        <w:t>) te utvrđen manjak prihoda i primitaka u iznosu od 65.694,33 eura (ŠIFRA Y005) dok je iz prethodne godine prenesen manjak prihoda poslovanja u iznosu od 16</w:t>
      </w:r>
      <w:r w:rsidR="007920AB">
        <w:t>.</w:t>
      </w:r>
      <w:r>
        <w:t>852,31 eura (ŠIFRA 9222-9221), te je utvrđen manjak prihoda i primitaka za pokriće u sljedećem razdo</w:t>
      </w:r>
      <w:r>
        <w:t>blju u iznosu od 82.546,64 eura (ŠIFRA Y006).</w:t>
      </w:r>
    </w:p>
    <w:p w:rsidR="00372FD3" w:rsidRDefault="00D04F1D">
      <w:r>
        <w:t> </w:t>
      </w:r>
    </w:p>
    <w:p w:rsidR="00372FD3" w:rsidRDefault="00D04F1D">
      <w:r>
        <w:t> </w:t>
      </w:r>
    </w:p>
    <w:p w:rsidR="00372FD3" w:rsidRDefault="00D04F1D">
      <w:r>
        <w:br/>
      </w:r>
    </w:p>
    <w:p w:rsidR="00372FD3" w:rsidRDefault="00D04F1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72FD3" w:rsidRDefault="00D04F1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-8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72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2F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372F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2FD3" w:rsidRDefault="00D04F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72FD3" w:rsidRDefault="00372FD3">
      <w:pPr>
        <w:spacing w:after="0"/>
      </w:pPr>
    </w:p>
    <w:p w:rsidR="00372FD3" w:rsidRDefault="00D04F1D" w:rsidP="00D04F1D">
      <w:pPr>
        <w:jc w:val="both"/>
      </w:pPr>
      <w:r>
        <w:t>Stanje obveza 01. siječnja 2025. (ŠIFRA V001) iznosilo je 94.140,07 eura koje su se sastojale od nepodmirenih obveza prenesenih iz 2024. godine i obveze za plaću, naknadu prijevoza i ostale rashode za mjesec prosinac 2024., čija isplata je uslijedila u mje</w:t>
      </w:r>
      <w:r>
        <w:t>secu siječnju 2025. godine.</w:t>
      </w:r>
    </w:p>
    <w:p w:rsidR="00372FD3" w:rsidRDefault="00D04F1D" w:rsidP="00D04F1D">
      <w:pPr>
        <w:jc w:val="both"/>
      </w:pPr>
      <w:r>
        <w:t> </w:t>
      </w:r>
    </w:p>
    <w:p w:rsidR="00372FD3" w:rsidRDefault="00D04F1D" w:rsidP="00D04F1D">
      <w:pPr>
        <w:jc w:val="both"/>
      </w:pPr>
      <w:r>
        <w:t>            Stanje obveza na kraju izvještajnog razdoblja (ŠIFRA V006) iznosi 85.265,43 eura od čega:</w:t>
      </w:r>
    </w:p>
    <w:p w:rsidR="00372FD3" w:rsidRDefault="00D04F1D" w:rsidP="00D04F1D">
      <w:pPr>
        <w:jc w:val="both"/>
      </w:pPr>
      <w:r>
        <w:t> </w:t>
      </w:r>
    </w:p>
    <w:p w:rsidR="00372FD3" w:rsidRDefault="00D04F1D" w:rsidP="00D04F1D">
      <w:pPr>
        <w:jc w:val="both"/>
      </w:pPr>
      <w:r>
        <w:t>-       na nedospjele obveze za rashode poslovanja              83.319,66 eura</w:t>
      </w:r>
    </w:p>
    <w:p w:rsidR="00372FD3" w:rsidRDefault="00D04F1D" w:rsidP="00D04F1D">
      <w:pPr>
        <w:jc w:val="both"/>
      </w:pPr>
      <w:r>
        <w:t>-       na nedospjele međusobne obveze sub.</w:t>
      </w:r>
    </w:p>
    <w:p w:rsidR="00372FD3" w:rsidRDefault="00D04F1D" w:rsidP="00D04F1D">
      <w:pPr>
        <w:jc w:val="both"/>
      </w:pPr>
      <w:r>
        <w:lastRenderedPageBreak/>
        <w:t>         općeg proračuna     (</w:t>
      </w:r>
      <w:proofErr w:type="spellStart"/>
      <w:r>
        <w:t>refunda</w:t>
      </w:r>
      <w:proofErr w:type="spellEnd"/>
      <w:r>
        <w:t>. naknade HZZO, kop)         226,39 eura        </w:t>
      </w:r>
      <w:bookmarkStart w:id="0" w:name="_GoBack"/>
      <w:bookmarkEnd w:id="0"/>
    </w:p>
    <w:p w:rsidR="00372FD3" w:rsidRDefault="00D04F1D" w:rsidP="00D04F1D">
      <w:pPr>
        <w:jc w:val="both"/>
      </w:pPr>
      <w:r>
        <w:t>-          na nedospjele obveze za financijsku imovinu              1.719,38 eura</w:t>
      </w:r>
    </w:p>
    <w:p w:rsidR="00372FD3" w:rsidRDefault="00D04F1D" w:rsidP="00D04F1D">
      <w:pPr>
        <w:jc w:val="both"/>
      </w:pPr>
      <w:r>
        <w:t>           (</w:t>
      </w:r>
      <w:proofErr w:type="spellStart"/>
      <w:r>
        <w:t>fin.leasing</w:t>
      </w:r>
      <w:proofErr w:type="spellEnd"/>
      <w:r>
        <w:t>)</w:t>
      </w:r>
    </w:p>
    <w:p w:rsidR="00372FD3" w:rsidRDefault="00D04F1D" w:rsidP="00D04F1D">
      <w:pPr>
        <w:jc w:val="both"/>
      </w:pPr>
      <w:r>
        <w:t>Nepodmirene obveze za rashode za zaposlene i materijalne rasho</w:t>
      </w:r>
      <w:r>
        <w:t xml:space="preserve">de podmirene </w:t>
      </w:r>
      <w:r w:rsidR="007920AB">
        <w:t>su u narednom razdoblju, u siječ</w:t>
      </w:r>
      <w:r>
        <w:t xml:space="preserve">nju 2025. godine, sredstvima doznačenim </w:t>
      </w:r>
      <w:r>
        <w:t>iz proračuna za 2026. godinu.</w:t>
      </w:r>
    </w:p>
    <w:p w:rsidR="00372FD3" w:rsidRDefault="00372FD3" w:rsidP="00D04F1D">
      <w:pPr>
        <w:jc w:val="both"/>
      </w:pPr>
    </w:p>
    <w:sectPr w:rsidR="0037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2FD3"/>
    <w:rsid w:val="00372FD3"/>
    <w:rsid w:val="007920AB"/>
    <w:rsid w:val="00D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CAA0"/>
  <w15:docId w15:val="{6873F0B3-6209-4179-8EEE-68A4B3FD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Nevenka Horvat</cp:lastModifiedBy>
  <cp:revision>3</cp:revision>
  <dcterms:created xsi:type="dcterms:W3CDTF">2026-02-06T14:41:00Z</dcterms:created>
  <dcterms:modified xsi:type="dcterms:W3CDTF">2026-02-06T14:43:00Z</dcterms:modified>
</cp:coreProperties>
</file>