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4508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508E" w:rsidRDefault="00C34FA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4508E" w:rsidRDefault="00C34FAF">
            <w:pPr>
              <w:spacing w:after="0" w:line="240" w:lineRule="auto"/>
            </w:pPr>
            <w:r>
              <w:t>4868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508E" w:rsidRDefault="00C34FA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4508E" w:rsidRDefault="00C34FAF">
            <w:pPr>
              <w:spacing w:after="0" w:line="240" w:lineRule="auto"/>
            </w:pPr>
            <w:r>
              <w:t>OPĆINSKO DRŽAVNO ODVJETNIŠTVO U SISKU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4508E" w:rsidRDefault="00C34FA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4508E" w:rsidRDefault="00C34FAF">
            <w:pPr>
              <w:spacing w:after="0" w:line="240" w:lineRule="auto"/>
            </w:pPr>
            <w:r>
              <w:t>11</w:t>
            </w:r>
          </w:p>
        </w:tc>
      </w:tr>
    </w:tbl>
    <w:p w:rsidR="00E4508E" w:rsidRDefault="00C34FAF">
      <w:r>
        <w:br/>
      </w:r>
    </w:p>
    <w:p w:rsidR="00E4508E" w:rsidRDefault="00C34FA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4508E" w:rsidRDefault="00C34FA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4508E" w:rsidRDefault="00C34FA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2.190.941,96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2.457.036,94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2.193.670,86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2.637.873,47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2.728,90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180.836,53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6626,7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75,3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75,3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3.393,62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3.495,12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7.793,52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185.589,65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2381,3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Ukupni poslovni prihodi sastoje se od prihoda iz nadležnog proračuna za financiranje poslovnih rashoda u iznosu od 2.451.894,86 EUR, prihoda iz nadležnog proračuna za financiranje rashoda za nabavu nefinancijske imovine u iznosu od 4.753,12 eura i vlastiti</w:t>
      </w:r>
      <w:r>
        <w:t>h prihoda od kopiranja spisa (</w:t>
      </w:r>
      <w:proofErr w:type="spellStart"/>
      <w:r>
        <w:t>kto</w:t>
      </w:r>
      <w:proofErr w:type="spellEnd"/>
      <w:r>
        <w:t xml:space="preserve"> 66151) u iznosu od 388,96 eura.</w:t>
      </w:r>
    </w:p>
    <w:p w:rsidR="00E4508E" w:rsidRDefault="00C34FAF">
      <w:r>
        <w:t>Ukupni rashodi poslovanja su 2.637.873,47 eura.</w:t>
      </w:r>
    </w:p>
    <w:p w:rsidR="00E4508E" w:rsidRDefault="00C34FAF">
      <w:r>
        <w:lastRenderedPageBreak/>
        <w:t>Ukupni rashodi za nabavu nefinancijske imovine u iznosu od 1.258,00 eura odnosi se na nabavu vodootpornog ormara.</w:t>
      </w:r>
    </w:p>
    <w:p w:rsidR="00E4508E" w:rsidRDefault="00C34FAF">
      <w:r>
        <w:t>Ukupni izdaci za financijsku</w:t>
      </w:r>
      <w:r>
        <w:t xml:space="preserve"> imovinu i otplate zajmova u iznosu od 3.495,12 eura odnosi se na otplatu financijskog </w:t>
      </w:r>
      <w:proofErr w:type="spellStart"/>
      <w:r>
        <w:t>leasinga</w:t>
      </w:r>
      <w:proofErr w:type="spellEnd"/>
      <w:r>
        <w:t xml:space="preserve"> kojim smo nabavili službeno vozilo u 2021. godini.</w:t>
      </w:r>
    </w:p>
    <w:p w:rsidR="00E4508E" w:rsidRDefault="00C34FAF">
      <w:r>
        <w:t>Manjak prihoda i primitaka u iznosu od 185.589,65 eura odnosi se na plaću za prosinac 2025. godine koja je is</w:t>
      </w:r>
      <w:r>
        <w:t>plaćena u siječnju 2026. godine.</w:t>
      </w:r>
    </w:p>
    <w:p w:rsidR="00E4508E" w:rsidRDefault="00C34FAF">
      <w:r>
        <w:br/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1.602.336,74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2.125.809,44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:rsidR="00E4508E" w:rsidRDefault="00E4508E">
      <w:pPr>
        <w:spacing w:after="0"/>
      </w:pPr>
    </w:p>
    <w:p w:rsidR="00E4508E" w:rsidRDefault="00C34FAF">
      <w:proofErr w:type="spellStart"/>
      <w:r>
        <w:t>Rahodi</w:t>
      </w:r>
      <w:proofErr w:type="spellEnd"/>
      <w:r>
        <w:t xml:space="preserve"> za zaposlene (plaća, prekovremeni, ostali rashodi za zaposlene i doprinos za zdravstveno osiguranje) povećani su za 32,7% u odnosu na isto razdoblje prethodne godine, zbog povećanja plaća temeljem Zakona o plaćama koji je stupio na snagu 01.03.2024.</w:t>
      </w:r>
      <w:r>
        <w:t>.</w:t>
      </w:r>
    </w:p>
    <w:p w:rsidR="00E4508E" w:rsidRDefault="00C34FAF">
      <w:r>
        <w:t>Međutim, povećanje se odnosi i na plaću za prosinac 2025. koja se više ne knjiži na kontinuirane rashode budućih razdoblja.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6.290,48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6.961,73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Službena putovanja - povećanje za 10,7% odnosi se na povećane troškove korištenja autoceste, dnevnica i naknade za smještaj pri putovanju na službeni put.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47.263,46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71.174,69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150,6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lastRenderedPageBreak/>
        <w:t>Naknade za prijevoz, za rad na terenu i odvojeni život - povećanje za 50,6% odnosi se na novozaposlene službenike i dužnosnike koji putuju iz Zagreba i isplaćuje im se naknada za prijevoz po kilometru.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243,5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Službena, radna i zaštitna odjeća i obuća - povećanje od 143,5% odnosi se na nabavu radne obuće za čistačicu (87,62 eura).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10.355,43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15.482,79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Komunalne usluge - povećanje za 49,5% odnosi se na plaćanje zaostale komunalne naknade prema Gradu Sisku (nakon što je Općinski sud u Sisku odselio iz zgrade).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210,7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Računalne usluge - povećanje za 110,7% odnosi se na nove troškove izdanih certifikata za COP.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273,4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Ostale usluge - povećanje za 173,4% odnosi se na troškove čišćenja prostorija, s obzirom da je čistačica na dugotrajnom bolovanju, kao i troškove osposobljavanja zaštite na radu za novo zaposlene osobe. 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Zatezne kamate - odnosi se na isplatu zatezne kamate po sudskoj presudi za osobe koje su imale pravo na beneficirani staž.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323,0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Uredska oprema i namještaj - povećanje za 223% odnosi se na nabavu vodootpornog ormara.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 xml:space="preserve">Ovaj iznos odnosi se na otplatu glavnice financijskog </w:t>
      </w:r>
      <w:proofErr w:type="spellStart"/>
      <w:r>
        <w:t>leasinga</w:t>
      </w:r>
      <w:proofErr w:type="spellEnd"/>
      <w:r>
        <w:t xml:space="preserve"> kojim smo nabavili službeno vozilo u 2021. godini.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11.840,37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197.430,02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1667,4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Manjak prihoda i primitaka za pokriće u sljedećem razdoblju - povećanje se odnosi na knjiženje plaće za prosinac 2025., s obzirom da se više ne knjiži na kontinuirane rashode budućih razdoblja.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125.398,65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110.262,37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Uredska oprema i namještaj - Ministarstvo pravosuđa, uprave i digitalne transformacije Odlukom prenijelo bez naknade uvećanu vrijednost za nabavu uredskog namještaja.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18,9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Novac na računu u iznosu od 10,87 eura. 10,47 eura je vlastiti prihod od kopiranja spisa koji je uplaćen na naš IBAN nakon što je uplaćeno u Državni proračun, i 0,40 eura se odnosi na pasivnu kamatu uplaćenu od strane HPB d.d..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9483,9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Ovaj iznos odnosi se na bolovanje na teret HZZO-a (za refundaciju).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</w:t>
            </w:r>
            <w:r>
              <w:rPr>
                <w:b/>
                <w:sz w:val="18"/>
              </w:rPr>
              <w:t xml:space="preserve">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154.039,53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201.779,34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Stanje obveza na dan 01. siječnja 2025. godine u potpunosti je podmireno u siječnju 2025.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3270,3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900,98 eura odnosi se na bolovanje na teret HZZO-a.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11.840,37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197.430,02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1667,4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Manjak prihoda poslovanja - 197.430,02 eura odnosi se na plaću za prosinac 2025., a ostatak se odnosi na redovne račune poslovanja kojima je dospijeće 2026. godina.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100.522,23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108.477,05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E4508E" w:rsidRDefault="00E4508E">
      <w:pPr>
        <w:spacing w:after="0"/>
      </w:pPr>
    </w:p>
    <w:p w:rsidR="00E4508E" w:rsidRDefault="00C34FAF">
      <w:proofErr w:type="spellStart"/>
      <w:r>
        <w:t>Izvanbilančni</w:t>
      </w:r>
      <w:proofErr w:type="spellEnd"/>
      <w:r>
        <w:t xml:space="preserve"> zapisi u iznosu od 100.522,23 eura odnosi se na potencijalne obveze po osnovi sudskih sporova u tijeku (isplata MIO za beneficirani staž dužnosnika za razdoblje 01. rujna 2011. godine do 31. kolovoza 20185. godine), te iznos od 7.954,82 eura </w:t>
      </w:r>
      <w:r>
        <w:t xml:space="preserve">odnosi se na tuđu imovinu dobivenu na korištenje (službeno vozilo Opel </w:t>
      </w:r>
      <w:proofErr w:type="spellStart"/>
      <w:r>
        <w:t>Insignia</w:t>
      </w:r>
      <w:proofErr w:type="spellEnd"/>
      <w:r>
        <w:t>).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2.195.341,86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2.639.131,47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Iznos 2.639.131,47 eura odnosi se na ukupni rashod poslovanja koji je iskazan na poziciji Y034 u obrascu PR-RAS.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19.253,69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Smanjenje proizvedene dugotrajne imovine u iznosu od 19.253,69 eura odnosi se na amortizaciju za 2025. godinu.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13.462,43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Povećanje proizvedene dugotrajne imovine u iznosu od 13.462,43 eura odnosi se na prijenos uredskog namještaja bez naknade od strane Ministarstva pravosuđa, uprave i digitalne transformacije.</w:t>
      </w:r>
    </w:p>
    <w:p w:rsidR="00E4508E" w:rsidRDefault="00C34FAF">
      <w:r>
        <w:t>Iznos smanjenja 973,08 eura odnosi se na sadašnju vrijednost rashodovane imovine za 2025. godinu.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Stanje dospjelih obveza na kraju izvještajnog razdoblja u iznosu od 9.248,14 eura odnosi se na trošak energije i vode za 11/2025 i trošak uredskog materijala koje je dospijeće u 2026. godini.</w:t>
      </w:r>
    </w:p>
    <w:p w:rsidR="00E4508E" w:rsidRDefault="00C34FAF">
      <w:r>
        <w:t xml:space="preserve">Vlasni zgrade kasno je poslao </w:t>
      </w:r>
      <w:proofErr w:type="spellStart"/>
      <w:r>
        <w:t>prefakturirane</w:t>
      </w:r>
      <w:proofErr w:type="spellEnd"/>
      <w:r>
        <w:t xml:space="preserve"> troškove struje i vode.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E4508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Nedospjele obveze u iznosu od 900,98 eura odnosi se na bolovanje na teret HZZO-a.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189.842,93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>Nedospjele obveze za rashode poslovanja odnosi se na plaću za prosinac 2025. i troškove poštanskih usluga.</w:t>
      </w:r>
    </w:p>
    <w:p w:rsidR="00E4508E" w:rsidRDefault="00E4508E"/>
    <w:p w:rsidR="00E4508E" w:rsidRDefault="00C34FA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450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508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4508E" w:rsidRDefault="00C34FA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4508E" w:rsidRDefault="00E4508E">
      <w:pPr>
        <w:spacing w:after="0"/>
      </w:pPr>
    </w:p>
    <w:p w:rsidR="00E4508E" w:rsidRDefault="00C34FAF">
      <w:r>
        <w:t xml:space="preserve">Nedospjele obveze za financijsku imovinu u iznosu od 1.787,29 eura odnosi se na ostatak glavnice za otplatu financijskog </w:t>
      </w:r>
      <w:proofErr w:type="spellStart"/>
      <w:r>
        <w:t>leasinga</w:t>
      </w:r>
      <w:proofErr w:type="spellEnd"/>
      <w:r>
        <w:t>.</w:t>
      </w:r>
    </w:p>
    <w:p w:rsidR="00E4508E" w:rsidRDefault="00E4508E"/>
    <w:sectPr w:rsidR="00E4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8E"/>
    <w:rsid w:val="00C34FAF"/>
    <w:rsid w:val="00E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Medić</dc:creator>
  <cp:lastModifiedBy>Sanda Medić</cp:lastModifiedBy>
  <cp:revision>2</cp:revision>
  <dcterms:created xsi:type="dcterms:W3CDTF">2026-02-05T12:57:00Z</dcterms:created>
  <dcterms:modified xsi:type="dcterms:W3CDTF">2026-02-05T12:57:00Z</dcterms:modified>
</cp:coreProperties>
</file>