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50CE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50CEC" w:rsidRDefault="000C6A13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50CEC" w:rsidRDefault="000C6A13">
            <w:pPr>
              <w:spacing w:after="0" w:line="240" w:lineRule="auto"/>
            </w:pPr>
            <w:r>
              <w:t>4921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50CEC" w:rsidRDefault="000C6A1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50CEC" w:rsidRDefault="000C6A13">
            <w:pPr>
              <w:spacing w:after="0" w:line="240" w:lineRule="auto"/>
            </w:pPr>
            <w:r>
              <w:t>OPĆINSKO DRŽAVNO ODVJETNIŠTVO U VELIKOJ GORICI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50CEC" w:rsidRDefault="000C6A1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50CEC" w:rsidRDefault="000C6A13">
            <w:pPr>
              <w:spacing w:after="0" w:line="240" w:lineRule="auto"/>
            </w:pPr>
            <w:r>
              <w:t>11</w:t>
            </w:r>
          </w:p>
        </w:tc>
      </w:tr>
    </w:tbl>
    <w:p w:rsidR="00A50CEC" w:rsidRDefault="000C6A13">
      <w:r>
        <w:br/>
      </w:r>
    </w:p>
    <w:p w:rsidR="00A50CEC" w:rsidRDefault="000C6A1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50CEC" w:rsidRDefault="000C6A1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50CEC" w:rsidRDefault="000C6A1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1.339.603,40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1.606.632,00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1.336.113,88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1.743.043,45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A50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136.411,45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A50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A50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3.006,02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3.095,92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103,0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A50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139.507,37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50CEC" w:rsidRDefault="00A50CEC">
      <w:pPr>
        <w:spacing w:after="0"/>
      </w:pPr>
    </w:p>
    <w:p w:rsidR="00A50CEC" w:rsidRDefault="000C6A13">
      <w:pPr>
        <w:jc w:val="both"/>
      </w:pPr>
      <w:r>
        <w:t xml:space="preserve">Općinsko državno odvjetništvo u Velikoj Gorici je u periodu 01.01.- 31.12.2025. ostvarilo prihode u ukupnom iznosu od 1.606.632,00 eura koje čine: prihodi iz nadležnog proračuna za financiranje redovne djelatnosti u iznosu od 1.603.270,47 eura, prihodi iz </w:t>
      </w:r>
      <w:r>
        <w:t>nadležnog proračuna za financiranje rashoda za nabavu nefinancijske imovine u iznosu od 3.095,92 eura i  vlastiti prihod (usluge fotokopiranja spisa) u iznosu od 265,61 eura.  Istovremeno su u istom periodu rashodi poslovanja iznosili ukupno 1.743.043,45 e</w:t>
      </w:r>
      <w:r>
        <w:t xml:space="preserve">ura i čine ih: 31 - rashodi za zaposlene ukupno 1.431.902,40  eura, odnosno 82,2% ukupnih rashoda;  32 - materijalni rashodi </w:t>
      </w:r>
      <w:r>
        <w:lastRenderedPageBreak/>
        <w:t>ukupno  309.973,55 eura, odnosno dodatnih 17,73% od ukupnih rashoda te 34 - financijski rashodi u ukupnom iznosu od 1.167,50 eura o</w:t>
      </w:r>
      <w:r>
        <w:t xml:space="preserve">dnosno 0,07% od ukupnih rashoda.  Razlika/manjak prihoda i primitaka za pokriće u slijedećem razdoblju u ukupnom iznosu od 139.507,37 eura se odnosi na manjak prihoda poslovanja u iznosu od 136.411,45 eura i manjak od financijske imovine i otplate zajmova </w:t>
      </w:r>
      <w:r>
        <w:t>u iznosu od 3.095,92 eura.  Općinsko državno odvjetništvo u Velikoj Gorici u izvještajnom periodu nema evidentirane prihode od prodaje ni rashode za nabavu nefinancijske imovine kao ni primitke odnosno izdatke od financijske imovine.</w:t>
      </w:r>
    </w:p>
    <w:p w:rsidR="00A50CEC" w:rsidRDefault="000C6A13">
      <w:r>
        <w:br/>
      </w:r>
    </w:p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197,7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Radi se o vlastitim prihodima za usluge fotokopiranja spisa za odvjetnike. U odnosu na prethodnu godinu je došlo do povećanja od 97,7% jer je bilo nekoliko opsežnih predmeta sa puno dokumentacije pa je i naknada za uslugu kopiranja spisa bila veća nego u 2</w:t>
      </w:r>
      <w:r>
        <w:t>024. godini.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1.336.463,02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1.603.270,47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Prihodi iz nadležnog proračuna za financiranje rashoda poslovanja su 20% veći nego u istom periodu prethodne godine prvenstveno radi porasta prihoda za financiranje rashoda za zaposlene, a potom i radi porasta prihoda za financiranje materijalnih izdataka.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 xml:space="preserve">Prihodi iz nadležnog proračuna za financiranje rashoda za nabavu nefinancijske imovine su 3% veći nego u istom razdoblju prethodne godine. Radi o prihodima za financiranje rashoda s osnova </w:t>
      </w:r>
      <w:proofErr w:type="spellStart"/>
      <w:r>
        <w:t>leasinga</w:t>
      </w:r>
      <w:proofErr w:type="spellEnd"/>
      <w:r>
        <w:t xml:space="preserve"> za službeno vozilo, glavnica po Planu otplate Ugovora o fi</w:t>
      </w:r>
      <w:r>
        <w:t xml:space="preserve">nancijskom </w:t>
      </w:r>
      <w:proofErr w:type="spellStart"/>
      <w:r>
        <w:t>leasingu</w:t>
      </w:r>
      <w:proofErr w:type="spellEnd"/>
      <w:r>
        <w:t>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1.336.113,88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1.743.043,45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Ukupni rashodi poslovanja su za 30,5% veći u odnosu na isti period prethodne godine. Rasle su sve grupe rashoda: 31 - rashodi za zaposlene, 32 - materijalni rashodi i 34 - financijski rashodi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1.073.286,35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1.431.902,40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133,4</w:t>
            </w:r>
          </w:p>
        </w:tc>
      </w:tr>
    </w:tbl>
    <w:p w:rsidR="00A50CEC" w:rsidRDefault="00A50CEC">
      <w:pPr>
        <w:spacing w:after="0"/>
      </w:pPr>
    </w:p>
    <w:p w:rsidR="00A50CEC" w:rsidRDefault="000C6A13">
      <w:pPr>
        <w:jc w:val="both"/>
      </w:pPr>
      <w:r>
        <w:t xml:space="preserve">Rashodi za zaposlene su veći od prošlogodišnjih za 33,4% a razlozi su: povećanje osnovice plaća sukladnu dodatku Kolektivnog ugovora, usklađenje knjiženja sa Pravilnikom o proračunskom računovodstvu i računskom planu od 01.01.2025. (ukidanje kontinuiranih </w:t>
      </w:r>
      <w:r>
        <w:t>rashoda budućih razdoblja i knjiženje rashoda za zaposlene x13 u 2025.), prijem dvije nove dužnosnice tijekom godine te povećanje troška prekovremenih/dežurstava.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21.225,78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29.722,05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:rsidR="00A50CEC" w:rsidRDefault="00A50CEC">
      <w:pPr>
        <w:spacing w:after="0"/>
      </w:pPr>
    </w:p>
    <w:p w:rsidR="00A50CEC" w:rsidRDefault="000C6A13">
      <w:pPr>
        <w:jc w:val="both"/>
      </w:pPr>
      <w:r>
        <w:t>Rashodi za plaće za prekovremeni rad bilježe povećanje od 40% u odnosu na isto izvještajno razdoblje prethodne godine. Razlozi tomu su efekti povećanja osnovice dužnosnika iz H2 2024., te povećanja osnovice dvaput u 2025., sukladno kolektivnom ugovoru - št</w:t>
      </w:r>
      <w:r>
        <w:t xml:space="preserve">o za posljedicu ima veće rashode i za prekovremeni rad. Dodatno, nedostatak službenika ili njihovog izostanka (bolovanja, godišnji) se reflektira povećanjem broja prekovremenih sati te posljedično povećanju troška istih. Naravno, </w:t>
      </w:r>
      <w:proofErr w:type="spellStart"/>
      <w:r>
        <w:t>uticaj</w:t>
      </w:r>
      <w:proofErr w:type="spellEnd"/>
      <w:r>
        <w:t xml:space="preserve"> je imala i izmjena </w:t>
      </w:r>
      <w:r>
        <w:t>Pravilnika i knjiženje 13x izdataka za prekovremene u 2025.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na plaće (šifre </w:t>
            </w:r>
            <w:r>
              <w:rPr>
                <w:sz w:val="18"/>
              </w:rPr>
              <w:t>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139.809,08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187.506,43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134,1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Doprinosi na plaće bilježe rast u ovom izvještajnom razdoblju za 34,1% u odnosu na 2024. Doprinosi na plaću posljedično rastu kako rastu bruto plaće zaposlenih.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261.913,12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309.973,55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:rsidR="00A50CEC" w:rsidRDefault="00A50CEC">
      <w:pPr>
        <w:spacing w:after="0"/>
      </w:pPr>
    </w:p>
    <w:p w:rsidR="00A50CEC" w:rsidRDefault="000C6A13">
      <w:pPr>
        <w:jc w:val="both"/>
      </w:pPr>
      <w:r>
        <w:t>Obveze za materijalne rashode su veće od prošlogodišnjih za 18,3% ponajviše radi povećanja rashoda za usluge (intelektualne usluge), povećanje troškova pošte i troškova prijevoza zaposlenih. Na rashodima za troškove intelektualnih usluga zabilježeno je pov</w:t>
      </w:r>
      <w:r>
        <w:t>ećanje od 21,5%, odnosno iste su u 2025. veće za 35.470,86 eura u odnosu na prošlu godinu.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34.189,87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43.234,85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Naknade za prijevoz su u 2025. veće za 26,5% u odnosu na prethodnu godinu. Razlog tomu je osim promjene knjiženja radi izmjene Pravilnika (13 knjiženja u 2025., a 12 knjiženja u 2024.) jer većina zaposlenih putuje na posao iz okolnih gradova ili okolnih žu</w:t>
      </w:r>
      <w:r>
        <w:t>panija ili su pojedini dužnosnici privremeno premješteni iz Velike Gorice u Zagreb pa su troškovi prijevoza veći. U 2025. povećani efekt na prijevoz su imala putovanja kolega na posao i sa posla iz Kravarskog, Čazme, Siska, te povratak kolegice s porodiljs</w:t>
      </w:r>
      <w:r>
        <w:t>kog.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50CEC" w:rsidRDefault="00A50CEC">
      <w:pPr>
        <w:spacing w:after="0"/>
      </w:pPr>
    </w:p>
    <w:p w:rsidR="00A50CEC" w:rsidRDefault="000C6A13">
      <w:pPr>
        <w:jc w:val="both"/>
      </w:pPr>
      <w:r>
        <w:lastRenderedPageBreak/>
        <w:t>Odvjetništvo u 2025. nije nabavljalo radnu i zaštitnu odjeću i obuću. Razlog tomu je rast ukupnih materijalnih rashoda radi povećanja troškova intelektualnih usluga i velikog odstupanja od planiranih veličina, te mjera ušteda u rebalansu za 2025., a sve ka</w:t>
      </w:r>
      <w:r>
        <w:t>ko bi na cjelokupnim materijalnih rashodima pratili planske veličine.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</w:t>
            </w:r>
            <w:r>
              <w:rPr>
                <w:sz w:val="18"/>
              </w:rPr>
              <w:t xml:space="preserve">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20.974,48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28.310,57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Porast se odnosi uglavnom na rast troškova HP radi povećanja cijena. Dodatno se povećao i trošak fiksne telefonije radi novog ugovora s operaterom i cijena koje su prihvaćene u postupku Javne nabave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6.179,62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71,2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 xml:space="preserve">Ostali nespomenuti rashodi poslovanja su u 2025. manji od prošlogodišnjih za 28,8%. U naravi su uravnoteženi ako uzmemo u obzir da je u 2024. bio izvanredni trošak na pristojbama za građevinsko </w:t>
      </w:r>
      <w:proofErr w:type="spellStart"/>
      <w:r>
        <w:t>vještvo</w:t>
      </w:r>
      <w:proofErr w:type="spellEnd"/>
      <w:r>
        <w:t xml:space="preserve"> u iznosu od 2.500,00 eura.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161,6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Rashodi za reprezentaciju su 800,79 eura i veći su 61,6% u odnosu za 2024., jer je zbog rasta cijena povećana i navedena stavka financijskog plana za 2025.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Pristojbe i naknade su povećane jer se povećao od 01/2025 iznos naknade za (ne)zapošljavanje invalidnih osoba i zato jer od 01/2025 odvjetništvo plaća i HRT pristojbu, koju nije plaćalo u prethodnoj godini.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51,8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 xml:space="preserve">Trošak kamata po Ugovoru o </w:t>
      </w:r>
      <w:proofErr w:type="spellStart"/>
      <w:r>
        <w:t>leasingu</w:t>
      </w:r>
      <w:proofErr w:type="spellEnd"/>
      <w:r>
        <w:t xml:space="preserve"> za službeni auto je u 2025. godini manji za 48,2% u odnosu na prethodnu godinu jer je otplata </w:t>
      </w:r>
      <w:proofErr w:type="spellStart"/>
      <w:r>
        <w:t>leasinga</w:t>
      </w:r>
      <w:proofErr w:type="spellEnd"/>
      <w:r>
        <w:t xml:space="preserve"> ušla u zadnju godinu pa se kamata smanjuje.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147,1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Povećanje od 47,1% u 2025. u odnosu na prethodnu godinu je nastalo zbog plaćanja jednokratne naknade za uvođenje internet bankarstva u siječnju 2025., kao i zbog poskupljenja usluga platnog prometa.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76,7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Manjak prihoda - preneseni čine:</w:t>
      </w:r>
    </w:p>
    <w:p w:rsidR="00A50CEC" w:rsidRDefault="000C6A13">
      <w:pPr>
        <w:pStyle w:val="Odlomakpopisa"/>
        <w:numPr>
          <w:ilvl w:val="0"/>
          <w:numId w:val="1"/>
        </w:numPr>
      </w:pPr>
      <w:r>
        <w:t>saldo manjka prihoda poslovanja na dan 31.12.2024. u iznosu od 399,87 eura</w:t>
      </w:r>
    </w:p>
    <w:p w:rsidR="00A50CEC" w:rsidRDefault="000C6A13">
      <w:pPr>
        <w:pStyle w:val="Odlomakpopisa"/>
        <w:numPr>
          <w:ilvl w:val="0"/>
          <w:numId w:val="1"/>
        </w:numPr>
      </w:pPr>
      <w:proofErr w:type="spellStart"/>
      <w:r>
        <w:t>usklada</w:t>
      </w:r>
      <w:proofErr w:type="spellEnd"/>
      <w:r>
        <w:t xml:space="preserve"> bilančne ravnoteže koja je provedena u početnom stanju uz Odluku čelnika tijela broj R-68/2025 i uputu RIF-a a radi se o uskladi skupina 26 i 912 na teret 922 jer </w:t>
      </w:r>
      <w:r>
        <w:lastRenderedPageBreak/>
        <w:t>je na zavr</w:t>
      </w:r>
      <w:r>
        <w:t xml:space="preserve">šnom obračunu 31.12.2024. utvrđena bilančna neravnoteža za ratu </w:t>
      </w:r>
      <w:proofErr w:type="spellStart"/>
      <w:r>
        <w:t>leasinga</w:t>
      </w:r>
      <w:proofErr w:type="spellEnd"/>
      <w:r>
        <w:t xml:space="preserve"> iz 11. mjeseca 2021. godine u iznosu od 231,85 eura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A50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136.411,45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Ukupan manjak prihoda čini razlika između ukupnih prihoda i ukupnih rashoda u 2025. godini i iznosi ukupno 136.411,45 eura.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A50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140.139,09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Manjak prihoda i primitaka za pokriće u slijedećem razdoblju u iznosu od 140.139,09 eura čine:</w:t>
      </w:r>
    </w:p>
    <w:p w:rsidR="00A50CEC" w:rsidRDefault="000C6A13">
      <w:r>
        <w:t>•         manjak prihoda i primitaka u iznosu od 139.507,37 eura</w:t>
      </w:r>
    </w:p>
    <w:p w:rsidR="00A50CEC" w:rsidRDefault="000C6A13">
      <w:r>
        <w:t>•         manjak prihoda i primitaka - preneseni u iznosu od 631,72 eura</w:t>
      </w:r>
    </w:p>
    <w:p w:rsidR="00A50CEC" w:rsidRDefault="000C6A13">
      <w:r>
        <w:t xml:space="preserve">manjak je značajno veći od prošlogodišnjeg zbog izmjena knjiženja rashoda za zaposlene </w:t>
      </w:r>
      <w:proofErr w:type="spellStart"/>
      <w:r>
        <w:t>tj</w:t>
      </w:r>
      <w:proofErr w:type="spellEnd"/>
      <w:r>
        <w:t xml:space="preserve"> ukidanje konta 193 - kontinuirani rashodi budućih razdoblja pa se u početnom stanju navedeno </w:t>
      </w:r>
      <w:r>
        <w:t>evidentiralo na rashode za zaposlene 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42.529,98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37.248,53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87,6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Smanjenje na ovim kontima je provedeni otpis/rashodovanje po završnoj inventuri za 2024., koji je proveden u siječnju 2025.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r>
              <w:rPr>
                <w:sz w:val="18"/>
              </w:rPr>
              <w:t>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10.376,70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13.341,47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Porast od 28,6% u odnosu na isto izvještajno razdoblje prethodne godine je zbog knjiženja ispravka vrijednosti za službeno vozilo za 2025. godinu.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8.999,20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6.214,52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69,1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 xml:space="preserve">Konto sitnog inventara i </w:t>
      </w:r>
      <w:proofErr w:type="spellStart"/>
      <w:r>
        <w:t>autoguma</w:t>
      </w:r>
      <w:proofErr w:type="spellEnd"/>
      <w:r>
        <w:t xml:space="preserve"> je manji  za 30,9% u odnosu na prethodno izvještajno razdoblje radi nabavke novih guma za službeno vozilo u 2024., te tog troška nije bilo u 2025. godini.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</w:t>
            </w:r>
            <w:r>
              <w:rPr>
                <w:b/>
                <w:sz w:val="18"/>
              </w:rPr>
              <w:t>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99.153,68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1,1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Financijska imovina je značajno manja jer su u istom razdoblju prethodne godine u istu bili evidentirani i kontinuirani rashodi budućih razdoblja (193) kojih u 2025. nema radi izmjene načina evidencije obračuna rashoda za zaposlene sukladno novom Pravilnik</w:t>
      </w:r>
      <w:r>
        <w:t>u o proračunskom računovodstvu i računskom planu.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199,9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Ovaj iznos čine potraživanja od HZZO za refundaciju bolovanja po:</w:t>
      </w:r>
    </w:p>
    <w:p w:rsidR="00A50CEC" w:rsidRDefault="000C6A13">
      <w:pPr>
        <w:pStyle w:val="Odlomakpopisa"/>
        <w:numPr>
          <w:ilvl w:val="0"/>
          <w:numId w:val="1"/>
        </w:numPr>
      </w:pPr>
      <w:r>
        <w:t>plaći za 11/25 u iznosu od 124,40 eura</w:t>
      </w:r>
    </w:p>
    <w:p w:rsidR="00A50CEC" w:rsidRDefault="000C6A13">
      <w:pPr>
        <w:pStyle w:val="Odlomakpopisa"/>
        <w:numPr>
          <w:ilvl w:val="0"/>
          <w:numId w:val="1"/>
        </w:numPr>
      </w:pPr>
      <w:r>
        <w:t>plaći za 12/25 u iznosu od 1.005,35 eura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radi se o vlastitim prihodima koja su uplaćena u Državni proračun 31.12.2025. i biti će povučena u 2026. godini.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95.348,02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114.552,96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Obveze za zaposlene iznose 114.552,96 eura i čine ih:</w:t>
      </w:r>
    </w:p>
    <w:p w:rsidR="00A50CEC" w:rsidRDefault="000C6A13">
      <w:r>
        <w:t>•         obveze za bruto plaću za 12/2025 u iznosu od 98.981,42 eura</w:t>
      </w:r>
    </w:p>
    <w:p w:rsidR="00A50CEC" w:rsidRDefault="000C6A13">
      <w:r>
        <w:t>•         doprinosi na plaću za 12/2025 u iznosu od 15.196,54 eura</w:t>
      </w:r>
    </w:p>
    <w:p w:rsidR="00A50CEC" w:rsidRDefault="000C6A13">
      <w:r>
        <w:t>•         ostali rashodi za zaposlene za 12/2025 u iznosu od 375,00 eura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26.047,10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672,7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Obveze za materijalne rashode su značajno veće nego u 2024. jer smo dosta obveza zaprimili nakon Zahtjeva za povlačenje sredstava iz riznice te se u naravi radi o obvezama koje se odnose na kraj prosinca 2025., a koje dospijevaju na plaćanje u siječnju 202</w:t>
      </w:r>
      <w:r>
        <w:t>6. Čine ih:</w:t>
      </w:r>
    </w:p>
    <w:p w:rsidR="00A50CEC" w:rsidRDefault="000C6A13">
      <w:r>
        <w:t>•         prijevoz za 12/25 u iznosu od 3.262,14 eura</w:t>
      </w:r>
    </w:p>
    <w:p w:rsidR="00A50CEC" w:rsidRDefault="000C6A13">
      <w:r>
        <w:t>•         rashodi za materijal i energiju u iznosu od 243,92 eura</w:t>
      </w:r>
    </w:p>
    <w:p w:rsidR="00A50CEC" w:rsidRDefault="000C6A13">
      <w:r>
        <w:t>•         rashodi za usluge u iznosu od 22.541,04 eura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33,8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 xml:space="preserve">Obveze se odnose na otplatu </w:t>
      </w:r>
      <w:proofErr w:type="spellStart"/>
      <w:r>
        <w:t>leasinga</w:t>
      </w:r>
      <w:proofErr w:type="spellEnd"/>
      <w:r>
        <w:t xml:space="preserve"> za službeni auto. Razliku između stanja 31.12.2024. i 31.12.2025. čini otplata glavnice po Planu otplate u 2025. u iznosu od 3.095,92 eura. Saldo na dan 31.12.2025. u iznosu od 1.583,12 eura je iznos koji je preostao za</w:t>
      </w:r>
      <w:r>
        <w:t xml:space="preserve"> otplatu u 2026. godini, kada </w:t>
      </w:r>
      <w:proofErr w:type="spellStart"/>
      <w:r>
        <w:t>leasing</w:t>
      </w:r>
      <w:proofErr w:type="spellEnd"/>
      <w:r>
        <w:t xml:space="preserve"> i ističe.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Saldo ovih obveza u iznosu od 608,29 eura čine:</w:t>
      </w:r>
    </w:p>
    <w:p w:rsidR="00A50CEC" w:rsidRDefault="000C6A13">
      <w:pPr>
        <w:pStyle w:val="Odlomakpopisa"/>
        <w:numPr>
          <w:ilvl w:val="0"/>
          <w:numId w:val="1"/>
        </w:numPr>
      </w:pPr>
      <w:r>
        <w:t xml:space="preserve">uplaćene pasivne (a </w:t>
      </w:r>
      <w:proofErr w:type="spellStart"/>
      <w:r>
        <w:t>vista</w:t>
      </w:r>
      <w:proofErr w:type="spellEnd"/>
      <w:r>
        <w:t>) kamate HPB za razdoblje 01.10.2025. - 31.12.2025., koje su doznačene u IBAN odvjetništva na kraju dana 31.12.2025., a koje će u siječnju 2026. biti uplaćene u Državni proračun</w:t>
      </w:r>
    </w:p>
    <w:p w:rsidR="00A50CEC" w:rsidRDefault="000C6A13">
      <w:pPr>
        <w:pStyle w:val="Odlomakpopisa"/>
        <w:numPr>
          <w:ilvl w:val="0"/>
          <w:numId w:val="1"/>
        </w:numPr>
      </w:pPr>
      <w:r>
        <w:t>obvez</w:t>
      </w:r>
      <w:r>
        <w:t>e za uplatu u Državni proračun  refundacije bolovanja na plaći za 11/25 u iznosu od 608,24 eura koje će biti doznačene/knjižene kada HZZO izvrši plaćanje</w:t>
      </w:r>
    </w:p>
    <w:p w:rsidR="00A50CEC" w:rsidRDefault="000C6A13">
      <w:r>
        <w:t> 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140.139,09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4570,7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Manjak prihoda i primitaka u iznosu od 140.139,09 eura čine:</w:t>
      </w:r>
    </w:p>
    <w:p w:rsidR="00A50CEC" w:rsidRDefault="000C6A13">
      <w:r>
        <w:t>•         manjak prihoda poslovanja u iznosu od 137.043,17 eura</w:t>
      </w:r>
    </w:p>
    <w:p w:rsidR="00A50CEC" w:rsidRDefault="000C6A13">
      <w:r>
        <w:t>•         manjak prihoda od nefinancijske imovine u iznosu od 3.095,92 eura</w:t>
      </w:r>
    </w:p>
    <w:p w:rsidR="00A50CEC" w:rsidRDefault="000C6A13">
      <w:r>
        <w:t>najveći efekt na manjak prihoda poslovanja ima evidencija 13 rashoda za zaposlene u 2025., a sukladno novom Pravilniku o proračunskom računovodstvu i računskom planu.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82.657,10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82.657,10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navedeno se odnosi na rezervirana sredstva za isplatu beneficiranog staža zaposlenika 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1.336.173,88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1.743.043,45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Rashodi prema funkcijskoj klasifikaciji pod šifrom javni red i sigurnost, Sudovi u 2025. iznose 1.743.043,45 eura i oni su za 30,5% veći u odnosu na isto izvještajno razdoblje prethodne godine. Razlog povećanju je najvećim dijelom u povećanju rashoda za za</w:t>
      </w:r>
      <w:r>
        <w:t>poslene, te manjim dijelom u povećanju materijalnih i financijskih rashoda.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A50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8.578,20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17.147,93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199,9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Promjene u vrijednosti i obujmu imovine su unijete kao iznos povećanja za novonabavljenu proizvedenu dugotrajnu imovinu te iznos smanjenja u iznosu ispravka vrijednosti za 2025.</w:t>
      </w:r>
    </w:p>
    <w:p w:rsidR="00A50CEC" w:rsidRDefault="000C6A13">
      <w:r>
        <w:t>Povećanje obujma imovine u iznosu od 8.578,20 eura čine:</w:t>
      </w:r>
    </w:p>
    <w:p w:rsidR="00A50CEC" w:rsidRDefault="000C6A13">
      <w:r>
        <w:t>•         2 kompleta za skeniranje za potrebe digitalizacije arhive jedinične cijene od 4.289,10 eura (ustup bez naknade MPUDT)</w:t>
      </w:r>
    </w:p>
    <w:p w:rsidR="00A50CEC" w:rsidRDefault="000C6A13">
      <w:r>
        <w:t>Smanjenje obujma imovine u iznosu od 17.147,93 eura čini:</w:t>
      </w:r>
    </w:p>
    <w:p w:rsidR="00A50CEC" w:rsidRDefault="000C6A13">
      <w:r>
        <w:t>•         isp</w:t>
      </w:r>
      <w:r>
        <w:t>ravak vrijednosti za 2025. u iznosu od 17.143,93 eura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1.342.844,54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50CEC" w:rsidRDefault="00A50CEC">
      <w:pPr>
        <w:spacing w:after="0"/>
      </w:pPr>
    </w:p>
    <w:p w:rsidR="00A50CEC" w:rsidRDefault="000C6A13">
      <w:pPr>
        <w:jc w:val="both"/>
      </w:pPr>
      <w:r>
        <w:t>Obveze za zaposlene čine plaće za redovan rad, plaće za prekovremeni rad gdje spadaju i aktivna i pasivna dežurstva, ostali rashodi za zaposlene i doprinosi za obavezno zdravstveno osiguranje. Povećanje osnovice dužnosnika i prava po KU je uzrokovalo poveć</w:t>
      </w:r>
      <w:r>
        <w:t>anje plaća za redovan rad a njihovim rastom linearno rast onda i troškovi za prekovremeni rad i doprinosi na zdravstveno osiguranje. Najveći efekt na ove obveze je imalo usklađenje knjiženja sa novim Pravilnikom o proračunskom računovodstvu i računskom pla</w:t>
      </w:r>
      <w:r>
        <w:t>nu jer su u ove obveze knjižene u  početnom stanju 2025 i obveze za 12/2024.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306.736,39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50CEC" w:rsidRDefault="00A50CEC">
      <w:pPr>
        <w:spacing w:after="0"/>
      </w:pPr>
    </w:p>
    <w:p w:rsidR="00A50CEC" w:rsidRDefault="000C6A13">
      <w:pPr>
        <w:jc w:val="both"/>
      </w:pPr>
      <w:r>
        <w:t>Obveze za materijalne rashode iznose 306.736,39 eura i one su 18,3% veće od istih u izvještajnom razdoblje prethodne godine. Na povećanje najveći utjecaj ima trošak intelektualnih usluga u ovoj godini u odnosu na isto razdoblje prethodne godine, kao i troš</w:t>
      </w:r>
      <w:r>
        <w:t>ak prijevoza i poštanskih usluga.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Obveze za financijske rashode su veće za 27,7% od prošlogodišnjih i radi se o porastu troškova usluge platnog prometa odnosno jednokratne naknade za uvođenje internet bankarstva, koja je plaćena u 01/2025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A50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lastRenderedPageBreak/>
        <w:t>Općinsko državno odvjetništvo u Velikoj Gorici nema dospjelih obveza na kraju izvještajnog razdoblja 01.01.2025. - 31.12.2025.  Sve obveze u iznosu od 142.857,17 eura su u cijelosti nedospjele na dan 31.12.2025., odnosno dospijevaju u 2026. godini.</w:t>
      </w:r>
    </w:p>
    <w:p w:rsidR="00A50CEC" w:rsidRDefault="00A50CEC"/>
    <w:p w:rsidR="00A50CEC" w:rsidRDefault="000C6A13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50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5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A50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142.857,17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50CEC" w:rsidRDefault="000C6A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50CEC" w:rsidRDefault="00A50CEC">
      <w:pPr>
        <w:spacing w:after="0"/>
      </w:pPr>
    </w:p>
    <w:p w:rsidR="00A50CEC" w:rsidRDefault="000C6A13">
      <w:r>
        <w:t>Saldo nedospjelih obveza čine međusobne obveze subjekata općeg proračuna u iznosu od 608,29 eura, obveze za rashode poslovanja u iznosu od 140.665,76 eura i obveze za financijsku imovinu u iznosu od 1.583,12 eura.</w:t>
      </w:r>
    </w:p>
    <w:p w:rsidR="00A50CEC" w:rsidRDefault="00A50CEC"/>
    <w:sectPr w:rsidR="00A50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50D"/>
    <w:multiLevelType w:val="hybridMultilevel"/>
    <w:tmpl w:val="F3B86C98"/>
    <w:name w:val="disc"/>
    <w:lvl w:ilvl="0" w:tplc="69266010">
      <w:start w:val="1"/>
      <w:numFmt w:val="bullet"/>
      <w:lvlText w:val="•"/>
      <w:lvlJc w:val="left"/>
      <w:pPr>
        <w:ind w:left="720" w:hanging="360"/>
      </w:pPr>
    </w:lvl>
    <w:lvl w:ilvl="1" w:tplc="D7E062F8">
      <w:start w:val="1"/>
      <w:numFmt w:val="bullet"/>
      <w:lvlText w:val="•"/>
      <w:lvlJc w:val="left"/>
      <w:pPr>
        <w:ind w:left="1440" w:hanging="360"/>
      </w:pPr>
    </w:lvl>
    <w:lvl w:ilvl="2" w:tplc="362494CC">
      <w:start w:val="1"/>
      <w:numFmt w:val="bullet"/>
      <w:lvlText w:val="•"/>
      <w:lvlJc w:val="left"/>
      <w:pPr>
        <w:ind w:left="2160" w:hanging="360"/>
      </w:pPr>
    </w:lvl>
    <w:lvl w:ilvl="3" w:tplc="FE7ECACC">
      <w:start w:val="1"/>
      <w:numFmt w:val="bullet"/>
      <w:lvlText w:val="•"/>
      <w:lvlJc w:val="left"/>
      <w:pPr>
        <w:ind w:left="2880" w:hanging="360"/>
      </w:pPr>
    </w:lvl>
    <w:lvl w:ilvl="4" w:tplc="A15A7B0E">
      <w:start w:val="1"/>
      <w:numFmt w:val="bullet"/>
      <w:lvlText w:val="•"/>
      <w:lvlJc w:val="left"/>
      <w:pPr>
        <w:ind w:left="3600" w:hanging="360"/>
      </w:pPr>
    </w:lvl>
    <w:lvl w:ilvl="5" w:tplc="23E0C1C2">
      <w:start w:val="1"/>
      <w:numFmt w:val="bullet"/>
      <w:lvlText w:val="•"/>
      <w:lvlJc w:val="left"/>
      <w:pPr>
        <w:ind w:left="4320" w:hanging="360"/>
      </w:pPr>
    </w:lvl>
    <w:lvl w:ilvl="6" w:tplc="E3FC004E">
      <w:start w:val="1"/>
      <w:numFmt w:val="bullet"/>
      <w:lvlText w:val="•"/>
      <w:lvlJc w:val="left"/>
      <w:pPr>
        <w:ind w:left="5040" w:hanging="360"/>
      </w:pPr>
    </w:lvl>
    <w:lvl w:ilvl="7" w:tplc="FBAEF78C">
      <w:start w:val="1"/>
      <w:numFmt w:val="bullet"/>
      <w:lvlText w:val="•"/>
      <w:lvlJc w:val="left"/>
      <w:pPr>
        <w:ind w:left="5760" w:hanging="360"/>
      </w:pPr>
    </w:lvl>
    <w:lvl w:ilvl="8" w:tplc="73B2DDFE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EC"/>
    <w:rsid w:val="000C6A13"/>
    <w:rsid w:val="00A5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B2994-AE31-4A52-B6DC-F74E8831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 Barić</dc:creator>
  <cp:lastModifiedBy>Smiljana Barić</cp:lastModifiedBy>
  <cp:revision>2</cp:revision>
  <dcterms:created xsi:type="dcterms:W3CDTF">2026-01-30T12:18:00Z</dcterms:created>
  <dcterms:modified xsi:type="dcterms:W3CDTF">2026-01-30T12:18:00Z</dcterms:modified>
</cp:coreProperties>
</file>