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da0c52972ce43f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3611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ŽUPANIJSKO DRŽAVNO ODVJETNIŠTVO U KARLOVCU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1.019.136,07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1.227.129,42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1.011.999,92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1.310.781,42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83.652,00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4.327,74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87.979,74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od 01. siječnja do 31. prosinca 2025. ostvareni su ukupni prihodi od 1.227.129,42 eura, ukupni rashodi ostvareni su u iznosu od 1.310.781,42 eura. Preneseni rezultat iz prethodne godine (manjak) iznosio je 6.437,89 eura.</w:t>
      </w:r>
    </w:p>
    <w:p>
      <w:r>
        <w:t xml:space="preserve">Rezultat poslovanja za 2025. godinu je manjak prihoda i primitaka u iznosu od 94.417,63 eura. Znatno povećanje rezultata poslovanja tj. manjak rezultat je primjene novog Pravilnika o proračunskom računovodstvu i Računskom planu, sukladno kojem rashode za zaposlene koji se odnose na mjesec prosinac više ne knjižimo kao razgraničenje rashoda na skupinu 193, već na konta razreda 3 – rashodi koji utječu na povećanje manjka.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w:t>
            </w:r>
          </w:p>
        </w:tc>
      </w:tr>
    </w:tbl>
    <w:p>
      <w:pPr>
        <w:spacing w:before="0" w:after="0"/>
      </w:pPr>
    </w:p>
    <w:p>
      <w:r>
        <w:t xml:space="preserve">Radi se o pripisu kamata po redovnom računu tijekom godine i veći je u odnosu na prethodnu godinu.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w:t>
            </w:r>
          </w:p>
        </w:tc>
      </w:tr>
    </w:tbl>
    <w:p>
      <w:pPr>
        <w:spacing w:before="0" w:after="0"/>
      </w:pPr>
    </w:p>
    <w:p>
      <w:r>
        <w:t xml:space="preserve">U 2025. godini odobren je veći iznos na ovom kontu pa je prema tome i više utrošeno za nabavu sitnog inventara i auto guma.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w:t>
            </w:r>
          </w:p>
        </w:tc>
      </w:tr>
    </w:tbl>
    <w:p>
      <w:pPr>
        <w:spacing w:before="0" w:after="0"/>
      </w:pPr>
    </w:p>
    <w:p>
      <w:r>
        <w:t xml:space="preserve">Na ovoj stavci dolazi do većih odstupanja iz razloga što je u 2025. godini proračunom odobreno više sredstava na tom kontu pa je prema tome i više potrošeno na održavanje službenih automobila.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4774,7</w:t>
            </w:r>
          </w:p>
        </w:tc>
      </w:tr>
    </w:tbl>
    <w:p>
      <w:pPr>
        <w:spacing w:before="0" w:after="0"/>
      </w:pPr>
    </w:p>
    <w:p>
      <w:r>
        <w:t xml:space="preserve">Razlog velikog indeksa povećanja na ovom kontu je taj što su u 2025. godini prvi puta državni dužnosnici ostavili pravo na sistematske preglede prema važećem Kolektivnom ugovoru za državne službenike i namještenike, a uz njih to pravo u ovoj godini ostvarili su i službenici i namještenici stariji od 50 godina.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w:t>
            </w:r>
          </w:p>
        </w:tc>
      </w:tr>
    </w:tbl>
    <w:p>
      <w:pPr>
        <w:spacing w:before="0" w:after="0"/>
      </w:pPr>
    </w:p>
    <w:p>
      <w:r>
        <w:t xml:space="preserve">Razlog povećanja u odnosu na prethodnu godinu je zbog većeg broja pristiglih računa za prijevoze pokojnika koji čine najveći dio troškova sa ove stavke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94.417,63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1466,6</w:t>
            </w:r>
          </w:p>
        </w:tc>
      </w:tr>
    </w:tbl>
    <w:p>
      <w:pPr>
        <w:spacing w:before="0" w:after="0"/>
      </w:pPr>
    </w:p>
    <w:p>
      <w:r>
        <w:t xml:space="preserve">Financijski rezultat – manjak – osim uobičajenih nedospjelih neplaćenih obveza sačinjava i trošak plaće, putnih troškova i ostalih rashoda za zaposlene koji se odnose na prosinac 2024. Sukladno novom Pravilniku, rashode za zaposlene koji se odnose na mjesec prosinac više ne knjižimo kao razgraničenje na skupinu 193, već na konta rashoda koji utječu na povećanje manjka odnosno rezultata poslovanja.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-94.417,63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1466,6</w:t>
            </w:r>
          </w:p>
        </w:tc>
      </w:tr>
    </w:tbl>
    <w:p>
      <w:pPr>
        <w:spacing w:before="0" w:after="0"/>
      </w:pPr>
    </w:p>
    <w:p>
      <w:r>
        <w:t xml:space="preserve">Financijski rezultat – manjak – osim uobičajenih nedospjelih neplaćenih obveza sačinjava i trošak plaće, putnih troškova i ostalih rashoda za zaposlene koji se odnose na prosinac 2024. Sukladno novom Pravilniku, rashode za zaposlene koji se odnose na mjesec prosinac više ne knjižimo kao razgraničenje na skupinu 193, već na konta rashoda koji utječu na povećanje manjka odnosno rezultata poslovanja.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Županijsko državno odvjetništvo u Karlovcu nema dospjelih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24741e498bb4955" /></Relationships>
</file>