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CA" w:rsidRPr="000B47CA" w:rsidRDefault="000B47CA" w:rsidP="000B47C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GODIŠNJI IZVJEŠTAJ O IZVRŠENJU FINANCIJSKOG PLANA PRORAČUNSKOG KORISNIKA ZA 2025. GODINU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ŽUPANIJSKO DRŽAVNO ODVJETNIŠTVO U PULI</w:t>
      </w:r>
      <w:r w:rsidR="0024195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-POLA</w:t>
      </w:r>
      <w:bookmarkStart w:id="0" w:name="_GoBack"/>
      <w:bookmarkEnd w:id="0"/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Razdjel: 109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br/>
        <w:t>Glava: 75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br/>
        <w:t>RKP: 3646</w:t>
      </w:r>
    </w:p>
    <w:p w:rsidR="000B47CA" w:rsidRPr="000B47CA" w:rsidRDefault="0024195F" w:rsidP="000B47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2B756C" w:rsidRDefault="002B756C" w:rsidP="000B47C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0B47CA" w:rsidRPr="000B47CA" w:rsidRDefault="000B47CA" w:rsidP="000B47C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OPĆEG DIJELA IZVJEŠTAJA O IZVRŠENJU PRORAČUNA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Temeljem Pravilnika o polugodišnjem i godišnjem izvještaju o izvršenju proračuna i financijskog plana (NN 85/2023) dostavlja se obrazloženje općeg i posebnog dijela godišnjeg izvještaja o izvršenju financijskog plana za 2025. godinu.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Financijski plan Županijskog državnog odvjetništva u Puli za 2025. godinu usklađen je s Državni</w:t>
      </w:r>
      <w:r w:rsidR="002B756C">
        <w:rPr>
          <w:rFonts w:ascii="Arial" w:eastAsia="Times New Roman" w:hAnsi="Arial" w:cs="Arial"/>
          <w:sz w:val="24"/>
          <w:szCs w:val="24"/>
          <w:lang w:eastAsia="hr-HR"/>
        </w:rPr>
        <w:t>m proračunom Republike Hrvatske  i objavljen na mrežnim stranicama odvjetništva.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Županijsko državno odvjetništvo u Puli ostvaruje prihode iz:</w:t>
      </w:r>
    </w:p>
    <w:p w:rsidR="000B47CA" w:rsidRPr="000B47CA" w:rsidRDefault="000B47CA" w:rsidP="000B4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Izvora 11 – Opći prihodi i primici </w:t>
      </w:r>
    </w:p>
    <w:p w:rsidR="000B47CA" w:rsidRPr="000B47CA" w:rsidRDefault="000B47CA" w:rsidP="000B47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Izvora 31 – Vlastiti prihodi 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Ukupni prihodi za 2025. godinu ostvareni su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99,93%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plan, dok su vlastiti prihodi ostvareni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117,85%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Ukupni rashodi izvršeni su u visini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99,93%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Struktura rashoda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Najveći udio rashoda odnosi se na:</w:t>
      </w:r>
    </w:p>
    <w:p w:rsidR="000B47CA" w:rsidRPr="000B47CA" w:rsidRDefault="000B47CA" w:rsidP="000B4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rashode za zaposlene – izvršeni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materijalne rashode – izvršeni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99,70%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rashode za usluge – izvršeni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99,82%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Rashodi za zaposlene izvršeni su u potpunosti sukladno planu.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br/>
        <w:t>Materijalni rashodi i rashodi za usluge realizirani su gotovo u potpunosti, uz minimalna odstupanja.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Financijski rashodi izvršeni su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Rashodi za nabavu nefinancijske imovine izvršeni su u cijelosti (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>) te se odnose na nabavu prijevoznih sredstava.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lastRenderedPageBreak/>
        <w:t>Prihodi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Prihodi iz nadležnog proračuna ostvareni su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99,93%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i čine osnovni izvor financiranja.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Vlastiti prihodi ostvareni su iznad plana (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117,85%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>) te se odnose na prihode od pruženih usluga.</w:t>
      </w:r>
    </w:p>
    <w:p w:rsid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Prema funkcijskoj klasifikaciji,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100% rashoda odnosi se na javni red i sigurnost (0330 – sudovi)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2B756C" w:rsidRPr="000B47CA" w:rsidRDefault="002B756C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B47CA" w:rsidRDefault="0024195F" w:rsidP="000B47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7" style="width:0;height:1.5pt" o:hralign="center" o:bullet="t" o:hrstd="t" o:hr="t" fillcolor="#a0a0a0" stroked="f"/>
        </w:pict>
      </w:r>
    </w:p>
    <w:p w:rsidR="002B756C" w:rsidRPr="000B47CA" w:rsidRDefault="002B756C" w:rsidP="000B47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B47CA" w:rsidRPr="000B47CA" w:rsidRDefault="000B47CA" w:rsidP="000B47C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POSEBNOG DIJELA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U posebnom dijelu izvještaja prihodi i rashodi prikazani su prema programskoj klasifikaciji.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Cjelokupni prihodi i rashodi realizirani su kroz program: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2812 – Djelovanje državnih odvjetništava</w:t>
      </w:r>
    </w:p>
    <w:p w:rsidR="00707D58" w:rsidRDefault="00707D58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Progon počinitelja kaznenih i kažnjivih djela i zaštita imovine RH pred županijskim sudovima i upravnim tijelima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Rashodi poslovanja izvršeni su u iznosu od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99,93%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0B47CA" w:rsidRPr="000B47CA" w:rsidRDefault="000B47CA" w:rsidP="000B4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Rashodi za zaposlene: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Materijalni rashodi: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99,70%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Financijski rashodi: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Unutar materijalnih rashoda:</w:t>
      </w:r>
    </w:p>
    <w:p w:rsidR="000B47CA" w:rsidRPr="000B47CA" w:rsidRDefault="000B47CA" w:rsidP="000B4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naknade zaposlenima: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99,87%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rashodi za materijal i energiju: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99,31%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rashodi za usluge: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99,82%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ostali rashodi poslovanja: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95,60%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Manja odstupanja vidljiva su kod:</w:t>
      </w:r>
    </w:p>
    <w:p w:rsidR="000B47CA" w:rsidRPr="000B47CA" w:rsidRDefault="000B47CA" w:rsidP="000B47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naknada osobama izvan radnog odnosa (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96,61%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</w:p>
    <w:p w:rsidR="000B47CA" w:rsidRDefault="000B47CA" w:rsidP="000B47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ostalih nespomenutih rashoda (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95,60%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</w:p>
    <w:p w:rsidR="00707D58" w:rsidRPr="000B47CA" w:rsidRDefault="00707D58" w:rsidP="00707D5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lastRenderedPageBreak/>
        <w:t>Rashodi za nabavu nefinancijske imovine izvršeni su u cijelosti (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>) i odnose se na nabavu prijevoznih sredstava.</w:t>
      </w:r>
    </w:p>
    <w:p w:rsidR="000B47CA" w:rsidRPr="000B47CA" w:rsidRDefault="000B47CA" w:rsidP="000B47C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Izvori financiranja</w:t>
      </w:r>
    </w:p>
    <w:p w:rsidR="000B47CA" w:rsidRPr="000B47CA" w:rsidRDefault="000B47CA" w:rsidP="000B4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Izvor 11 – Opći prihodi i primici: izvršenje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99,93%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Izvor 31 – Vlastiti prihodi: izvršenje </w:t>
      </w:r>
      <w:r w:rsidRPr="000B47C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117,85%</w:t>
      </w:r>
      <w:r w:rsidRPr="000B47C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B47CA" w:rsidRPr="000B47CA" w:rsidRDefault="000B47CA" w:rsidP="000B47C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B47CA">
        <w:rPr>
          <w:rFonts w:ascii="Arial" w:eastAsia="Times New Roman" w:hAnsi="Arial" w:cs="Arial"/>
          <w:sz w:val="24"/>
          <w:szCs w:val="24"/>
          <w:lang w:eastAsia="hr-HR"/>
        </w:rPr>
        <w:t>Vlastiti prihodi ostvareni su iznad planiranog iznosa, ali ne utječu značajno na ukupno poslovanje jer se osnovno financiranje osigurava iz državnog proračuna.</w:t>
      </w:r>
    </w:p>
    <w:p w:rsidR="000070C5" w:rsidRDefault="000070C5">
      <w:pPr>
        <w:rPr>
          <w:rFonts w:ascii="Arial" w:hAnsi="Arial" w:cs="Arial"/>
          <w:sz w:val="24"/>
          <w:szCs w:val="24"/>
        </w:rPr>
      </w:pPr>
    </w:p>
    <w:p w:rsidR="00707D58" w:rsidRDefault="00707D58">
      <w:pPr>
        <w:rPr>
          <w:rFonts w:ascii="Arial" w:hAnsi="Arial" w:cs="Arial"/>
          <w:sz w:val="24"/>
          <w:szCs w:val="24"/>
        </w:rPr>
      </w:pP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707D58" w:rsidRDefault="00707D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7D58" w:rsidRDefault="00707D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Županijski državni odvjetnik</w:t>
      </w:r>
    </w:p>
    <w:p w:rsidR="008C1B47" w:rsidRDefault="008C1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Mr.sc. Mirko Grujić</w:t>
      </w: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8C1B47" w:rsidRDefault="008C1B47">
      <w:pPr>
        <w:rPr>
          <w:rFonts w:ascii="Arial" w:hAnsi="Arial" w:cs="Arial"/>
          <w:sz w:val="24"/>
          <w:szCs w:val="24"/>
        </w:rPr>
      </w:pPr>
    </w:p>
    <w:p w:rsidR="00707D58" w:rsidRDefault="00707D58">
      <w:pPr>
        <w:rPr>
          <w:rFonts w:ascii="Arial" w:hAnsi="Arial" w:cs="Arial"/>
          <w:sz w:val="24"/>
          <w:szCs w:val="24"/>
        </w:rPr>
      </w:pPr>
    </w:p>
    <w:p w:rsidR="00707D58" w:rsidRDefault="00707D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Pula, 23. ožujka 2026. </w:t>
      </w:r>
    </w:p>
    <w:p w:rsidR="00707D58" w:rsidRPr="000B47CA" w:rsidRDefault="00707D58">
      <w:pPr>
        <w:rPr>
          <w:rFonts w:ascii="Arial" w:hAnsi="Arial" w:cs="Arial"/>
          <w:sz w:val="24"/>
          <w:szCs w:val="24"/>
        </w:rPr>
      </w:pPr>
    </w:p>
    <w:sectPr w:rsidR="00707D58" w:rsidRPr="000B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C496D9A"/>
    <w:multiLevelType w:val="multilevel"/>
    <w:tmpl w:val="0654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C3371"/>
    <w:multiLevelType w:val="multilevel"/>
    <w:tmpl w:val="84FE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764B7"/>
    <w:multiLevelType w:val="multilevel"/>
    <w:tmpl w:val="06C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5397F"/>
    <w:multiLevelType w:val="multilevel"/>
    <w:tmpl w:val="FB9A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264B3"/>
    <w:multiLevelType w:val="multilevel"/>
    <w:tmpl w:val="D272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100BE"/>
    <w:multiLevelType w:val="multilevel"/>
    <w:tmpl w:val="72F0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CA"/>
    <w:rsid w:val="000070C5"/>
    <w:rsid w:val="000B47CA"/>
    <w:rsid w:val="0024195F"/>
    <w:rsid w:val="002B756C"/>
    <w:rsid w:val="00707D58"/>
    <w:rsid w:val="008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81D3"/>
  <w15:chartTrackingRefBased/>
  <w15:docId w15:val="{2BCA9A42-17F4-43BE-A3F4-FBD2A38D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0B4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0B4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0B47C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0B47C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B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B4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Brščić Vitasović</dc:creator>
  <cp:keywords/>
  <dc:description/>
  <cp:lastModifiedBy>Mirjana Brščić Vitasović</cp:lastModifiedBy>
  <cp:revision>3</cp:revision>
  <dcterms:created xsi:type="dcterms:W3CDTF">2026-03-23T13:19:00Z</dcterms:created>
  <dcterms:modified xsi:type="dcterms:W3CDTF">2026-03-23T14:18:00Z</dcterms:modified>
</cp:coreProperties>
</file>