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72C" w:rsidRPr="0070772C" w:rsidRDefault="0070772C" w:rsidP="0070772C">
      <w:pPr>
        <w:jc w:val="both"/>
        <w:rPr>
          <w:rFonts w:ascii="Arial" w:hAnsi="Arial" w:cs="Arial"/>
          <w:b/>
          <w:sz w:val="20"/>
          <w:szCs w:val="20"/>
        </w:rPr>
      </w:pPr>
      <w:r w:rsidRPr="0070772C">
        <w:rPr>
          <w:rFonts w:ascii="Arial" w:hAnsi="Arial" w:cs="Arial"/>
          <w:b/>
          <w:sz w:val="20"/>
          <w:szCs w:val="20"/>
        </w:rPr>
        <w:t>ŽUPANIJSKO DRŽAVNO ODVJETNIŠTVO U ZADRU</w:t>
      </w:r>
    </w:p>
    <w:p w:rsidR="0070772C" w:rsidRPr="0070772C" w:rsidRDefault="0070772C" w:rsidP="0070772C">
      <w:pPr>
        <w:jc w:val="both"/>
        <w:rPr>
          <w:rFonts w:ascii="Arial" w:hAnsi="Arial" w:cs="Arial"/>
          <w:sz w:val="20"/>
          <w:szCs w:val="20"/>
        </w:rPr>
      </w:pPr>
      <w:r w:rsidRPr="0070772C">
        <w:rPr>
          <w:rFonts w:ascii="Arial" w:hAnsi="Arial" w:cs="Arial"/>
          <w:sz w:val="20"/>
          <w:szCs w:val="20"/>
        </w:rPr>
        <w:t xml:space="preserve">UL. Plemića </w:t>
      </w:r>
      <w:proofErr w:type="spellStart"/>
      <w:r w:rsidRPr="0070772C">
        <w:rPr>
          <w:rFonts w:ascii="Arial" w:hAnsi="Arial" w:cs="Arial"/>
          <w:sz w:val="20"/>
          <w:szCs w:val="20"/>
        </w:rPr>
        <w:t>Borelli</w:t>
      </w:r>
      <w:proofErr w:type="spellEnd"/>
      <w:r w:rsidRPr="0070772C">
        <w:rPr>
          <w:rFonts w:ascii="Arial" w:hAnsi="Arial" w:cs="Arial"/>
          <w:sz w:val="20"/>
          <w:szCs w:val="20"/>
        </w:rPr>
        <w:t xml:space="preserve"> 9, Zadar</w:t>
      </w:r>
    </w:p>
    <w:p w:rsidR="0070772C" w:rsidRPr="0070772C" w:rsidRDefault="0070772C" w:rsidP="0070772C">
      <w:pPr>
        <w:jc w:val="both"/>
        <w:rPr>
          <w:rFonts w:ascii="Arial" w:hAnsi="Arial" w:cs="Arial"/>
          <w:sz w:val="20"/>
          <w:szCs w:val="20"/>
        </w:rPr>
      </w:pPr>
      <w:r w:rsidRPr="0070772C">
        <w:rPr>
          <w:rFonts w:ascii="Arial" w:hAnsi="Arial" w:cs="Arial"/>
          <w:sz w:val="20"/>
          <w:szCs w:val="20"/>
        </w:rPr>
        <w:t>OIB:17132768561</w:t>
      </w:r>
    </w:p>
    <w:p w:rsidR="0070772C" w:rsidRPr="0070772C" w:rsidRDefault="0070772C" w:rsidP="0070772C">
      <w:pPr>
        <w:jc w:val="both"/>
        <w:rPr>
          <w:rFonts w:ascii="Arial" w:hAnsi="Arial" w:cs="Arial"/>
          <w:sz w:val="20"/>
          <w:szCs w:val="20"/>
        </w:rPr>
      </w:pPr>
      <w:r w:rsidRPr="0070772C">
        <w:rPr>
          <w:rFonts w:ascii="Arial" w:hAnsi="Arial" w:cs="Arial"/>
          <w:sz w:val="20"/>
          <w:szCs w:val="20"/>
        </w:rPr>
        <w:t>RKP:3700</w:t>
      </w:r>
    </w:p>
    <w:p w:rsidR="0070772C" w:rsidRDefault="0070772C" w:rsidP="0070772C">
      <w:pPr>
        <w:jc w:val="both"/>
        <w:rPr>
          <w:rFonts w:ascii="Arial" w:hAnsi="Arial" w:cs="Arial"/>
          <w:sz w:val="20"/>
          <w:szCs w:val="20"/>
        </w:rPr>
      </w:pPr>
      <w:r w:rsidRPr="0070772C">
        <w:rPr>
          <w:rFonts w:ascii="Arial" w:hAnsi="Arial" w:cs="Arial"/>
          <w:sz w:val="20"/>
          <w:szCs w:val="20"/>
        </w:rPr>
        <w:t>Aktivnost: Progon počinitelja kaznenih i kažnjivih djela</w:t>
      </w:r>
    </w:p>
    <w:p w:rsidR="0070772C" w:rsidRDefault="0070772C" w:rsidP="007077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70772C">
        <w:rPr>
          <w:rFonts w:ascii="Arial" w:hAnsi="Arial" w:cs="Arial"/>
          <w:sz w:val="20"/>
          <w:szCs w:val="20"/>
        </w:rPr>
        <w:t xml:space="preserve"> zaštita imovine RH pred županijskom sudovima i upravnim tijelima</w:t>
      </w:r>
    </w:p>
    <w:p w:rsidR="0070772C" w:rsidRDefault="00866735" w:rsidP="007077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R-</w:t>
      </w:r>
      <w:r w:rsidR="00490FB4">
        <w:rPr>
          <w:rFonts w:ascii="Arial" w:hAnsi="Arial" w:cs="Arial"/>
          <w:sz w:val="20"/>
          <w:szCs w:val="20"/>
        </w:rPr>
        <w:t>3/2026-2</w:t>
      </w:r>
      <w:bookmarkStart w:id="0" w:name="_GoBack"/>
      <w:bookmarkEnd w:id="0"/>
    </w:p>
    <w:p w:rsidR="0070772C" w:rsidRDefault="0070772C" w:rsidP="0070772C">
      <w:pPr>
        <w:jc w:val="both"/>
        <w:rPr>
          <w:rFonts w:ascii="Arial" w:hAnsi="Arial" w:cs="Arial"/>
          <w:sz w:val="20"/>
          <w:szCs w:val="20"/>
        </w:rPr>
      </w:pPr>
    </w:p>
    <w:p w:rsidR="0070772C" w:rsidRDefault="0070772C" w:rsidP="0070772C">
      <w:pPr>
        <w:jc w:val="center"/>
        <w:rPr>
          <w:rFonts w:ascii="Arial" w:hAnsi="Arial" w:cs="Arial"/>
          <w:b/>
          <w:sz w:val="20"/>
          <w:szCs w:val="20"/>
        </w:rPr>
      </w:pPr>
      <w:r w:rsidRPr="0070772C">
        <w:rPr>
          <w:rFonts w:ascii="Arial" w:hAnsi="Arial" w:cs="Arial"/>
          <w:b/>
          <w:sz w:val="20"/>
          <w:szCs w:val="20"/>
        </w:rPr>
        <w:t>OBRAZLOŽENJE OPĆEG DIJELA GODIŠNJEG IZVJEŠTAJA O IZVRŠENJU FINANCIJSKOG PLANA ZA 2025 GODINU</w:t>
      </w:r>
    </w:p>
    <w:p w:rsidR="0070772C" w:rsidRDefault="0070772C" w:rsidP="0070772C">
      <w:pPr>
        <w:jc w:val="center"/>
        <w:rPr>
          <w:rFonts w:ascii="Arial" w:hAnsi="Arial" w:cs="Arial"/>
          <w:b/>
          <w:sz w:val="20"/>
          <w:szCs w:val="20"/>
        </w:rPr>
      </w:pPr>
    </w:p>
    <w:p w:rsidR="0070772C" w:rsidRDefault="0070772C" w:rsidP="0070772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OSTVARENJE PRIHODA</w:t>
      </w:r>
    </w:p>
    <w:p w:rsidR="0070772C" w:rsidRDefault="0070772C" w:rsidP="007077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2025 godinu tekućim planom planirani su ukupni prihodi u iznosu od 1.066.155,00 EUR od čega prihodi</w:t>
      </w:r>
      <w:r w:rsidR="000429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iz nadležnog proračuna ta financiranje rashoda poslovanja iznose </w:t>
      </w:r>
      <w:r w:rsidR="00042999">
        <w:rPr>
          <w:rFonts w:ascii="Arial" w:hAnsi="Arial" w:cs="Arial"/>
          <w:sz w:val="20"/>
          <w:szCs w:val="20"/>
        </w:rPr>
        <w:t xml:space="preserve">1.061.335,00 EUR, prihodi za financiranje rashoda za nabavu nefinancijske imovine iznose 4.555,00 EUR, a vlastiti prihodi ostvareni od preslika spisa iznose 265,00 EUR. </w:t>
      </w:r>
    </w:p>
    <w:p w:rsidR="00042999" w:rsidRDefault="00042999" w:rsidP="007077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odnosu na tekući plan gotovo nema odstupanja u ostvarenju, odnosno izvršenju financijskog plana za prednje navedene skupine pa tako ostvareni prihodi iznose ukupno 1.065.2</w:t>
      </w:r>
      <w:r w:rsidR="00866735">
        <w:rPr>
          <w:rFonts w:ascii="Arial" w:hAnsi="Arial" w:cs="Arial"/>
          <w:sz w:val="20"/>
          <w:szCs w:val="20"/>
        </w:rPr>
        <w:t>45</w:t>
      </w:r>
      <w:r>
        <w:rPr>
          <w:rFonts w:ascii="Arial" w:hAnsi="Arial" w:cs="Arial"/>
          <w:sz w:val="20"/>
          <w:szCs w:val="20"/>
        </w:rPr>
        <w:t>,</w:t>
      </w:r>
      <w:r w:rsidR="00866735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EUR.</w:t>
      </w:r>
    </w:p>
    <w:p w:rsidR="00042999" w:rsidRDefault="00042999" w:rsidP="007077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Kada se promatraju ostvareni prihodi u 2025 godini može se zaključiti da su ukupni prihodi veći za 28,01 % u odnosu na ostvarene prihode u 2024 godini.</w:t>
      </w:r>
    </w:p>
    <w:p w:rsidR="00042999" w:rsidRDefault="00042999" w:rsidP="007077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Ostvareni prihodi u iznosu od </w:t>
      </w:r>
      <w:r w:rsidR="00BE1C01">
        <w:rPr>
          <w:rFonts w:ascii="Arial" w:hAnsi="Arial" w:cs="Arial"/>
          <w:sz w:val="20"/>
          <w:szCs w:val="20"/>
        </w:rPr>
        <w:t xml:space="preserve">1.065.000,38 EUR </w:t>
      </w:r>
      <w:r w:rsidR="00866735">
        <w:rPr>
          <w:rFonts w:ascii="Arial" w:hAnsi="Arial" w:cs="Arial"/>
          <w:sz w:val="20"/>
          <w:szCs w:val="20"/>
        </w:rPr>
        <w:t>odnose se na izvor financiranja</w:t>
      </w:r>
      <w:r w:rsidR="00BE1C01">
        <w:rPr>
          <w:rFonts w:ascii="Arial" w:hAnsi="Arial" w:cs="Arial"/>
          <w:sz w:val="20"/>
          <w:szCs w:val="20"/>
        </w:rPr>
        <w:t xml:space="preserve"> 11-Opći prihodi i primici, dok se ostvareni prihod u iznosu od 2</w:t>
      </w:r>
      <w:r w:rsidR="00866735">
        <w:rPr>
          <w:rFonts w:ascii="Arial" w:hAnsi="Arial" w:cs="Arial"/>
          <w:sz w:val="20"/>
          <w:szCs w:val="20"/>
        </w:rPr>
        <w:t>44,91</w:t>
      </w:r>
      <w:r w:rsidR="00BE1C01">
        <w:rPr>
          <w:rFonts w:ascii="Arial" w:hAnsi="Arial" w:cs="Arial"/>
          <w:sz w:val="20"/>
          <w:szCs w:val="20"/>
        </w:rPr>
        <w:t xml:space="preserve"> EUR  odnosi na izvor financiranja 31- Vlastiti prihodi, koji se doznačuju iz državnog proračuna temeljem zahtjeva za pokriće rashoda.</w:t>
      </w:r>
    </w:p>
    <w:p w:rsidR="00BE1C01" w:rsidRDefault="00BE1C01" w:rsidP="0070772C">
      <w:pPr>
        <w:jc w:val="both"/>
        <w:rPr>
          <w:rFonts w:ascii="Arial" w:hAnsi="Arial" w:cs="Arial"/>
          <w:sz w:val="20"/>
          <w:szCs w:val="20"/>
        </w:rPr>
      </w:pPr>
    </w:p>
    <w:p w:rsidR="00BE1C01" w:rsidRDefault="00BE1C01" w:rsidP="0070772C">
      <w:pPr>
        <w:jc w:val="both"/>
        <w:rPr>
          <w:rFonts w:ascii="Arial" w:hAnsi="Arial" w:cs="Arial"/>
          <w:b/>
          <w:sz w:val="20"/>
          <w:szCs w:val="20"/>
        </w:rPr>
      </w:pPr>
      <w:r w:rsidRPr="00BE1C01">
        <w:rPr>
          <w:rFonts w:ascii="Arial" w:hAnsi="Arial" w:cs="Arial"/>
          <w:b/>
          <w:sz w:val="20"/>
          <w:szCs w:val="20"/>
        </w:rPr>
        <w:t>OSTVARENJE RASHODA</w:t>
      </w:r>
    </w:p>
    <w:p w:rsidR="00BE1C01" w:rsidRDefault="00BE1C01" w:rsidP="007077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Ukupni rashodi ostvareni u 2025 godini (rashodi poslovanja i rashodi za nabavu nefinancijske imovine) iznose 1.065.245,29 EUR i veći su za 28,01 % od ukupnih rashoda ostvarenih u 2024 godini kada su iznosili 832.155,47 EUR.</w:t>
      </w:r>
    </w:p>
    <w:p w:rsidR="00BE1C01" w:rsidRDefault="00BE1C01" w:rsidP="007077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odnosu na tekući plan rashoda u 2025 godini ostvarenje je gotovo bez odstupanja.</w:t>
      </w:r>
    </w:p>
    <w:p w:rsidR="00BE1C01" w:rsidRDefault="00BE1C01" w:rsidP="0070772C">
      <w:pPr>
        <w:jc w:val="both"/>
        <w:rPr>
          <w:rFonts w:ascii="Arial" w:hAnsi="Arial" w:cs="Arial"/>
          <w:sz w:val="20"/>
          <w:szCs w:val="20"/>
        </w:rPr>
      </w:pPr>
    </w:p>
    <w:p w:rsidR="00BE1C01" w:rsidRDefault="00BE1C01" w:rsidP="0070772C">
      <w:pPr>
        <w:jc w:val="both"/>
        <w:rPr>
          <w:rFonts w:ascii="Arial" w:hAnsi="Arial" w:cs="Arial"/>
          <w:b/>
          <w:sz w:val="20"/>
          <w:szCs w:val="20"/>
        </w:rPr>
      </w:pPr>
      <w:r w:rsidRPr="00BE1C01">
        <w:rPr>
          <w:rFonts w:ascii="Arial" w:hAnsi="Arial" w:cs="Arial"/>
          <w:b/>
          <w:sz w:val="20"/>
          <w:szCs w:val="20"/>
        </w:rPr>
        <w:t>PRIHODI PREMA EKONOMSKOJ KLASIFIKACIJI</w:t>
      </w:r>
    </w:p>
    <w:p w:rsidR="00BE1C01" w:rsidRDefault="00BE1C01" w:rsidP="007077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Ostvareni prihodi u 2025 godini iznose 1.065.2</w:t>
      </w:r>
      <w:r w:rsidR="00F676C8">
        <w:rPr>
          <w:rFonts w:ascii="Arial" w:hAnsi="Arial" w:cs="Arial"/>
          <w:sz w:val="20"/>
          <w:szCs w:val="20"/>
        </w:rPr>
        <w:t>45</w:t>
      </w:r>
      <w:r>
        <w:rPr>
          <w:rFonts w:ascii="Arial" w:hAnsi="Arial" w:cs="Arial"/>
          <w:sz w:val="20"/>
          <w:szCs w:val="20"/>
        </w:rPr>
        <w:t>,</w:t>
      </w:r>
      <w:r w:rsidR="00F676C8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EUR, a sastoje se od prihoda iz proračuna za financiranje rashoda poslovanja u iznosu od </w:t>
      </w:r>
      <w:r w:rsidR="00967268">
        <w:rPr>
          <w:rFonts w:ascii="Arial" w:hAnsi="Arial" w:cs="Arial"/>
          <w:sz w:val="20"/>
          <w:szCs w:val="20"/>
        </w:rPr>
        <w:t>1.060.446,37 EUR, prihoda za financiranje rashoda za nabavu nefinancijske imovine u iznosu od 4.554,01 EUR i vlastitih prihoda od pruženih usluga u iznosu od 2</w:t>
      </w:r>
      <w:r w:rsidR="00F676C8">
        <w:rPr>
          <w:rFonts w:ascii="Arial" w:hAnsi="Arial" w:cs="Arial"/>
          <w:sz w:val="20"/>
          <w:szCs w:val="20"/>
        </w:rPr>
        <w:t>44,91</w:t>
      </w:r>
      <w:r w:rsidR="00967268">
        <w:rPr>
          <w:rFonts w:ascii="Arial" w:hAnsi="Arial" w:cs="Arial"/>
          <w:sz w:val="20"/>
          <w:szCs w:val="20"/>
        </w:rPr>
        <w:t xml:space="preserve"> EUR.</w:t>
      </w:r>
    </w:p>
    <w:p w:rsidR="00967268" w:rsidRDefault="00967268" w:rsidP="0070772C">
      <w:pPr>
        <w:jc w:val="both"/>
        <w:rPr>
          <w:rFonts w:ascii="Arial" w:hAnsi="Arial" w:cs="Arial"/>
          <w:sz w:val="20"/>
          <w:szCs w:val="20"/>
        </w:rPr>
      </w:pPr>
    </w:p>
    <w:p w:rsidR="00967268" w:rsidRDefault="00967268" w:rsidP="0070772C">
      <w:pPr>
        <w:jc w:val="both"/>
        <w:rPr>
          <w:rFonts w:ascii="Arial" w:hAnsi="Arial" w:cs="Arial"/>
          <w:b/>
          <w:sz w:val="20"/>
          <w:szCs w:val="20"/>
        </w:rPr>
      </w:pPr>
      <w:r w:rsidRPr="00967268">
        <w:rPr>
          <w:rFonts w:ascii="Arial" w:hAnsi="Arial" w:cs="Arial"/>
          <w:b/>
          <w:sz w:val="20"/>
          <w:szCs w:val="20"/>
        </w:rPr>
        <w:lastRenderedPageBreak/>
        <w:t xml:space="preserve">RASHODI PREMA EKONOMSKOJ KLASIFIKACIJI </w:t>
      </w:r>
    </w:p>
    <w:p w:rsidR="00967268" w:rsidRDefault="00967268" w:rsidP="007077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Ukupno ostvareni rashodi u 2025 godini iznose 1.065.245,29 EUR. Promatrajući ostvarenje plana rashoda poslovanja vidljivo je da su najznačajniji rashodi za zaposlene u iznosu od 921.481,39 EUR i oni iznose 86,50 % ukupno ostvarenih rashoda za 2025 godinu.</w:t>
      </w:r>
    </w:p>
    <w:p w:rsidR="00967268" w:rsidRDefault="00967268" w:rsidP="007077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nastavku su pojašnjeni ostvareni rashodi za 2025 godini po skupinama:</w:t>
      </w:r>
    </w:p>
    <w:p w:rsidR="00967268" w:rsidRDefault="00967268" w:rsidP="0070772C">
      <w:pPr>
        <w:jc w:val="both"/>
        <w:rPr>
          <w:rFonts w:ascii="Arial" w:hAnsi="Arial" w:cs="Arial"/>
          <w:b/>
          <w:sz w:val="20"/>
          <w:szCs w:val="20"/>
        </w:rPr>
      </w:pPr>
      <w:r w:rsidRPr="00967268">
        <w:rPr>
          <w:rFonts w:ascii="Arial" w:hAnsi="Arial" w:cs="Arial"/>
          <w:b/>
          <w:sz w:val="20"/>
          <w:szCs w:val="20"/>
        </w:rPr>
        <w:t>Rashodi za zaposlene</w:t>
      </w:r>
    </w:p>
    <w:p w:rsidR="008C3D9D" w:rsidRDefault="008C3D9D" w:rsidP="007077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Rashodi za zaposlene u 2025 godini iznose 1.065.245,29 EUR, a odnose se na rashode za plaće zaposlenih, doprinose za zdravstveno osiguranje i ostalih rashoda za materijalna prava te doprinose za mirovinsko osiguranje s povećanim trajanjem. U odnosu na ostvarenje rashoda za zaposlene u 2024 godini, ova skupina rashoda veća je za 25,29% što je posljedica novog zaposlenja i rasta plaća kroz 2025 godinu. </w:t>
      </w:r>
    </w:p>
    <w:p w:rsidR="008C3D9D" w:rsidRDefault="008C3D9D" w:rsidP="0070772C">
      <w:pPr>
        <w:jc w:val="both"/>
        <w:rPr>
          <w:rFonts w:ascii="Arial" w:hAnsi="Arial" w:cs="Arial"/>
          <w:b/>
          <w:sz w:val="20"/>
          <w:szCs w:val="20"/>
        </w:rPr>
      </w:pPr>
      <w:r w:rsidRPr="008C3D9D">
        <w:rPr>
          <w:rFonts w:ascii="Arial" w:hAnsi="Arial" w:cs="Arial"/>
          <w:b/>
          <w:sz w:val="20"/>
          <w:szCs w:val="20"/>
        </w:rPr>
        <w:t xml:space="preserve">Materijalni rashodi </w:t>
      </w:r>
    </w:p>
    <w:p w:rsidR="00DB2697" w:rsidRDefault="008C3D9D" w:rsidP="007077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Materijalni rashodi u 2025 godini iznose 120.847,76 EUR te u odnosu na planirane rashode u ovoj skupini nisu značajnije odstupali. Najznačajniji rashodi iz ove skupine odnose se na intelektualne usluge koje iznose 76.136,53 EUR odnosno </w:t>
      </w:r>
      <w:r w:rsidR="00DB2697">
        <w:rPr>
          <w:rFonts w:ascii="Arial" w:hAnsi="Arial" w:cs="Arial"/>
          <w:sz w:val="20"/>
          <w:szCs w:val="20"/>
        </w:rPr>
        <w:t xml:space="preserve">63,00 % ukupnih materijalnih rashoda. Također u odnosu na ostvarenje u 2024 godini rashodi za intelektualne usluge veći su za 48,67 %. Intelektualne usluge povezane su s aktivnostima koje su u nadležnosti Županijskog državnog odvjetništva </w:t>
      </w:r>
      <w:r w:rsidR="00F676C8">
        <w:rPr>
          <w:rFonts w:ascii="Arial" w:hAnsi="Arial" w:cs="Arial"/>
          <w:sz w:val="20"/>
          <w:szCs w:val="20"/>
        </w:rPr>
        <w:t>u Z</w:t>
      </w:r>
      <w:r w:rsidR="00DB2697">
        <w:rPr>
          <w:rFonts w:ascii="Arial" w:hAnsi="Arial" w:cs="Arial"/>
          <w:sz w:val="20"/>
          <w:szCs w:val="20"/>
        </w:rPr>
        <w:t>adru, odnosno s progonom počinitelja kaznenih i kažnjivih djela, a to obuhvaća usluge odvjetnika, usluge vještačenja i usluge prijevoda. Povećanje se bilježi na zdravstvenim uslugama iz razloga organiziranja sistematskih pregleda zaposlenika sukladno KU.</w:t>
      </w:r>
    </w:p>
    <w:p w:rsidR="00DB2697" w:rsidRDefault="00DB2697" w:rsidP="0070772C">
      <w:pPr>
        <w:jc w:val="both"/>
        <w:rPr>
          <w:rFonts w:ascii="Arial" w:hAnsi="Arial" w:cs="Arial"/>
          <w:b/>
          <w:sz w:val="20"/>
          <w:szCs w:val="20"/>
        </w:rPr>
      </w:pPr>
      <w:r w:rsidRPr="00DB2697">
        <w:rPr>
          <w:rFonts w:ascii="Arial" w:hAnsi="Arial" w:cs="Arial"/>
          <w:b/>
          <w:sz w:val="20"/>
          <w:szCs w:val="20"/>
        </w:rPr>
        <w:t>Financijski rashodi</w:t>
      </w:r>
    </w:p>
    <w:p w:rsidR="00DB2697" w:rsidRDefault="00DB2697" w:rsidP="007077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Financijski rashodi u iznosu od 18.362,13 EUR odnose se na bankarske usluge, kam</w:t>
      </w:r>
      <w:r w:rsidR="00F676C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te po ugovoru za financijski </w:t>
      </w:r>
      <w:proofErr w:type="spellStart"/>
      <w:r>
        <w:rPr>
          <w:rFonts w:ascii="Arial" w:hAnsi="Arial" w:cs="Arial"/>
          <w:sz w:val="20"/>
          <w:szCs w:val="20"/>
        </w:rPr>
        <w:t>leasing</w:t>
      </w:r>
      <w:proofErr w:type="spellEnd"/>
      <w:r>
        <w:rPr>
          <w:rFonts w:ascii="Arial" w:hAnsi="Arial" w:cs="Arial"/>
          <w:sz w:val="20"/>
          <w:szCs w:val="20"/>
        </w:rPr>
        <w:t xml:space="preserve"> za kupnju službenog vozila te zatezne kamate. Najznačajniji iznos rashoda u ovoj skupini odnosi se na zatezne kamate (za naknadno plaćeni staž sa povećanim trajanjem za dužnosnika) u iznosu od 17.451,40 EUR.</w:t>
      </w:r>
    </w:p>
    <w:p w:rsidR="00DB2697" w:rsidRDefault="00DB2697" w:rsidP="0070772C">
      <w:pPr>
        <w:jc w:val="both"/>
        <w:rPr>
          <w:rFonts w:ascii="Arial" w:hAnsi="Arial" w:cs="Arial"/>
          <w:b/>
          <w:sz w:val="20"/>
          <w:szCs w:val="20"/>
        </w:rPr>
      </w:pPr>
      <w:r w:rsidRPr="00DB2697">
        <w:rPr>
          <w:rFonts w:ascii="Arial" w:hAnsi="Arial" w:cs="Arial"/>
          <w:b/>
          <w:sz w:val="20"/>
          <w:szCs w:val="20"/>
        </w:rPr>
        <w:t xml:space="preserve">Rashodi za nabavu nefinancijske imovine </w:t>
      </w:r>
    </w:p>
    <w:p w:rsidR="00DB2697" w:rsidRDefault="00DB2697" w:rsidP="007077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Ovi rashodi u iznosu od 4.554,01 EUR odnose se na otplatu glavnice po ugovoru financijskog </w:t>
      </w:r>
      <w:proofErr w:type="spellStart"/>
      <w:r>
        <w:rPr>
          <w:rFonts w:ascii="Arial" w:hAnsi="Arial" w:cs="Arial"/>
          <w:sz w:val="20"/>
          <w:szCs w:val="20"/>
        </w:rPr>
        <w:t>leasinga</w:t>
      </w:r>
      <w:proofErr w:type="spellEnd"/>
      <w:r>
        <w:rPr>
          <w:rFonts w:ascii="Arial" w:hAnsi="Arial" w:cs="Arial"/>
          <w:sz w:val="20"/>
          <w:szCs w:val="20"/>
        </w:rPr>
        <w:t xml:space="preserve"> za službeno vozilo. </w:t>
      </w:r>
    </w:p>
    <w:p w:rsidR="00DB2697" w:rsidRDefault="00DB2697" w:rsidP="0070772C">
      <w:pPr>
        <w:jc w:val="both"/>
        <w:rPr>
          <w:rFonts w:ascii="Arial" w:hAnsi="Arial" w:cs="Arial"/>
          <w:b/>
          <w:sz w:val="20"/>
          <w:szCs w:val="20"/>
        </w:rPr>
      </w:pPr>
      <w:r w:rsidRPr="00DB2697">
        <w:rPr>
          <w:rFonts w:ascii="Arial" w:hAnsi="Arial" w:cs="Arial"/>
          <w:b/>
          <w:sz w:val="20"/>
          <w:szCs w:val="20"/>
        </w:rPr>
        <w:t>OSTAVRENI PRIJENOS SREDSTAVA IZ PRETHODNE U SLJEDEĆU GODINU</w:t>
      </w:r>
    </w:p>
    <w:p w:rsidR="00DB2697" w:rsidRDefault="000313C3" w:rsidP="007077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Županijsko odvjetništvo u Zadru nema prijenosa sredstava iz prethodne u sljedeću godinu.</w:t>
      </w:r>
    </w:p>
    <w:p w:rsidR="000313C3" w:rsidRDefault="000313C3" w:rsidP="0070772C">
      <w:pPr>
        <w:jc w:val="both"/>
        <w:rPr>
          <w:rFonts w:ascii="Arial" w:hAnsi="Arial" w:cs="Arial"/>
          <w:b/>
          <w:sz w:val="20"/>
          <w:szCs w:val="20"/>
        </w:rPr>
      </w:pPr>
      <w:r w:rsidRPr="000313C3">
        <w:rPr>
          <w:rFonts w:ascii="Arial" w:hAnsi="Arial" w:cs="Arial"/>
          <w:b/>
          <w:sz w:val="20"/>
          <w:szCs w:val="20"/>
        </w:rPr>
        <w:t>PODACI O STANJU NOVČANIH SREDSTAVA NA RAČUNU:</w:t>
      </w:r>
    </w:p>
    <w:p w:rsidR="000313C3" w:rsidRDefault="000313C3" w:rsidP="000313C3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početku proračunske godine: 0,04 EUR</w:t>
      </w:r>
    </w:p>
    <w:p w:rsidR="000313C3" w:rsidRDefault="000313C3" w:rsidP="000313C3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kraju proračunske godine: 0,08 EUR</w:t>
      </w:r>
    </w:p>
    <w:p w:rsidR="00F676C8" w:rsidRDefault="00F676C8" w:rsidP="00F676C8">
      <w:pPr>
        <w:jc w:val="both"/>
        <w:rPr>
          <w:rFonts w:ascii="Arial" w:hAnsi="Arial" w:cs="Arial"/>
          <w:sz w:val="20"/>
          <w:szCs w:val="20"/>
        </w:rPr>
      </w:pPr>
    </w:p>
    <w:p w:rsidR="00F676C8" w:rsidRDefault="00F676C8" w:rsidP="00F676C8">
      <w:pPr>
        <w:jc w:val="both"/>
        <w:rPr>
          <w:rFonts w:ascii="Arial" w:hAnsi="Arial" w:cs="Arial"/>
          <w:sz w:val="20"/>
          <w:szCs w:val="20"/>
        </w:rPr>
      </w:pPr>
    </w:p>
    <w:p w:rsidR="00F676C8" w:rsidRPr="00F676C8" w:rsidRDefault="00F676C8" w:rsidP="00F676C8">
      <w:pPr>
        <w:jc w:val="both"/>
        <w:rPr>
          <w:rFonts w:ascii="Arial" w:hAnsi="Arial" w:cs="Arial"/>
          <w:sz w:val="20"/>
          <w:szCs w:val="20"/>
        </w:rPr>
      </w:pPr>
    </w:p>
    <w:p w:rsidR="000313C3" w:rsidRDefault="000313C3" w:rsidP="000313C3">
      <w:pPr>
        <w:jc w:val="both"/>
        <w:rPr>
          <w:rFonts w:ascii="Arial" w:hAnsi="Arial" w:cs="Arial"/>
          <w:sz w:val="20"/>
          <w:szCs w:val="20"/>
        </w:rPr>
      </w:pPr>
    </w:p>
    <w:p w:rsidR="000313C3" w:rsidRDefault="000313C3" w:rsidP="000313C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OBRAZLOŽENJE POSEBNOG DIIJELA GODIŠNJEG IZVJEŠTAJA O IZVRŠENJU FINANCIJSKOG PLANA ZA 2025. GODINU</w:t>
      </w:r>
    </w:p>
    <w:p w:rsidR="000313C3" w:rsidRDefault="000313C3" w:rsidP="000313C3">
      <w:pPr>
        <w:jc w:val="center"/>
        <w:rPr>
          <w:rFonts w:ascii="Arial" w:hAnsi="Arial" w:cs="Arial"/>
          <w:b/>
          <w:sz w:val="20"/>
          <w:szCs w:val="20"/>
        </w:rPr>
      </w:pPr>
    </w:p>
    <w:p w:rsidR="000313C3" w:rsidRDefault="000313C3" w:rsidP="000313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Izvori financiranja za Županijsko državno odvjetništvo u zadru su opći prihodi i primici i vlastiti prihodi.</w:t>
      </w:r>
    </w:p>
    <w:p w:rsidR="000313C3" w:rsidRDefault="000313C3" w:rsidP="000313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Vlastiti prihodi koji se odnose na prihode od preslika spisa zauzimaju vrlo mali neznatni udio u izvoru financiranja, dakle glavni izvor financiranja su prihodi iz nadležnog proračuna.</w:t>
      </w:r>
    </w:p>
    <w:p w:rsidR="000313C3" w:rsidRDefault="000313C3" w:rsidP="000313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Ukupni rashodi ostvareni u 2025 godini iznose 1.06</w:t>
      </w:r>
      <w:r w:rsidR="00ED22B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  <w:r w:rsidR="00ED22B2">
        <w:rPr>
          <w:rFonts w:ascii="Arial" w:hAnsi="Arial" w:cs="Arial"/>
          <w:sz w:val="20"/>
          <w:szCs w:val="20"/>
        </w:rPr>
        <w:t>245</w:t>
      </w:r>
      <w:r>
        <w:rPr>
          <w:rFonts w:ascii="Arial" w:hAnsi="Arial" w:cs="Arial"/>
          <w:sz w:val="20"/>
          <w:szCs w:val="20"/>
        </w:rPr>
        <w:t>,</w:t>
      </w:r>
      <w:r w:rsidR="00ED22B2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EUR </w:t>
      </w:r>
      <w:r w:rsidR="00ED22B2">
        <w:rPr>
          <w:rFonts w:ascii="Arial" w:hAnsi="Arial" w:cs="Arial"/>
          <w:sz w:val="20"/>
          <w:szCs w:val="20"/>
        </w:rPr>
        <w:t>te u odnosu na tekući plan gotovo su bez odstupanja.</w:t>
      </w:r>
    </w:p>
    <w:p w:rsidR="00ED22B2" w:rsidRDefault="00ED22B2" w:rsidP="000313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Promatrajući ostvarenje plana rashoda poslovanja vidljivo je da su najznačajniji rashodi za zaposlene u iznosu od 921.481,29 EUR i oni iznose 86,50 % rashoda poslovanja. Materijalni rashodi (rashodi za materijal, energiju, rashodi za usluge, naknade troškova osobama izvan radnog odnosa –svjedocima i ostali nespomenuti rashodi poslovanja) ostvareni su u iznosu od 120.847,76 EUR odnosno čine 11,35% ukupnih rashoda poslovanja.</w:t>
      </w:r>
    </w:p>
    <w:p w:rsidR="00ED22B2" w:rsidRDefault="00ED22B2" w:rsidP="000313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Financijski rashodi u iznosu od 18.362,13 EUR odnose se na kamate po ugovoru za financijski </w:t>
      </w:r>
      <w:proofErr w:type="spellStart"/>
      <w:r>
        <w:rPr>
          <w:rFonts w:ascii="Arial" w:hAnsi="Arial" w:cs="Arial"/>
          <w:sz w:val="20"/>
          <w:szCs w:val="20"/>
        </w:rPr>
        <w:t>leasing</w:t>
      </w:r>
      <w:proofErr w:type="spellEnd"/>
      <w:r>
        <w:rPr>
          <w:rFonts w:ascii="Arial" w:hAnsi="Arial" w:cs="Arial"/>
          <w:sz w:val="20"/>
          <w:szCs w:val="20"/>
        </w:rPr>
        <w:t xml:space="preserve"> za službeno vozilo, kamate za naknadno isplaćeni staž s povećanim trajanjem te na usluge platnog prometa.</w:t>
      </w:r>
    </w:p>
    <w:p w:rsidR="00ED22B2" w:rsidRDefault="00ED22B2" w:rsidP="000313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Rashodi za nabavu nefinancijske imovine u iznosu od 4.554,01 EUR odnose se na otplatu </w:t>
      </w:r>
      <w:r w:rsidR="003E76FF">
        <w:rPr>
          <w:rFonts w:ascii="Arial" w:hAnsi="Arial" w:cs="Arial"/>
          <w:sz w:val="20"/>
          <w:szCs w:val="20"/>
        </w:rPr>
        <w:t xml:space="preserve">glavnice prema financijskom </w:t>
      </w:r>
      <w:proofErr w:type="spellStart"/>
      <w:r w:rsidR="003E76FF">
        <w:rPr>
          <w:rFonts w:ascii="Arial" w:hAnsi="Arial" w:cs="Arial"/>
          <w:sz w:val="20"/>
          <w:szCs w:val="20"/>
        </w:rPr>
        <w:t>leasingu</w:t>
      </w:r>
      <w:proofErr w:type="spellEnd"/>
      <w:r w:rsidR="003E76FF">
        <w:rPr>
          <w:rFonts w:ascii="Arial" w:hAnsi="Arial" w:cs="Arial"/>
          <w:sz w:val="20"/>
          <w:szCs w:val="20"/>
        </w:rPr>
        <w:t xml:space="preserve"> za službeno vozilo.</w:t>
      </w:r>
    </w:p>
    <w:p w:rsidR="003E76FF" w:rsidRDefault="003E76FF" w:rsidP="000313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odnosu na tekući plan za 2025 godinu i financiranje iz nadležnog proračuna ostvareni rashodi po svim skupinama gotovo ne odstupaju.</w:t>
      </w:r>
    </w:p>
    <w:p w:rsidR="003E76FF" w:rsidRDefault="003E76FF" w:rsidP="000313C3">
      <w:pPr>
        <w:jc w:val="both"/>
        <w:rPr>
          <w:rFonts w:ascii="Arial" w:hAnsi="Arial" w:cs="Arial"/>
          <w:sz w:val="20"/>
          <w:szCs w:val="20"/>
        </w:rPr>
      </w:pPr>
    </w:p>
    <w:p w:rsidR="003E76FF" w:rsidRPr="000313C3" w:rsidRDefault="003E76FF" w:rsidP="000313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Zadru, 24.03.2026.</w:t>
      </w:r>
    </w:p>
    <w:p w:rsidR="000313C3" w:rsidRPr="00DB2697" w:rsidRDefault="000313C3" w:rsidP="0070772C">
      <w:pPr>
        <w:jc w:val="both"/>
        <w:rPr>
          <w:rFonts w:ascii="Arial" w:hAnsi="Arial" w:cs="Arial"/>
          <w:sz w:val="20"/>
          <w:szCs w:val="20"/>
        </w:rPr>
      </w:pPr>
    </w:p>
    <w:p w:rsidR="008C3D9D" w:rsidRPr="008C3D9D" w:rsidRDefault="00DB2697" w:rsidP="007077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42999" w:rsidRPr="00BE1C01" w:rsidRDefault="00042999" w:rsidP="0070772C">
      <w:pPr>
        <w:jc w:val="both"/>
        <w:rPr>
          <w:rFonts w:ascii="Arial" w:hAnsi="Arial" w:cs="Arial"/>
          <w:b/>
          <w:sz w:val="20"/>
          <w:szCs w:val="20"/>
        </w:rPr>
      </w:pPr>
    </w:p>
    <w:sectPr w:rsidR="00042999" w:rsidRPr="00BE1C0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4F8" w:rsidRDefault="001B74F8" w:rsidP="00EF4F11">
      <w:pPr>
        <w:spacing w:after="0" w:line="240" w:lineRule="auto"/>
      </w:pPr>
      <w:r>
        <w:separator/>
      </w:r>
    </w:p>
  </w:endnote>
  <w:endnote w:type="continuationSeparator" w:id="0">
    <w:p w:rsidR="001B74F8" w:rsidRDefault="001B74F8" w:rsidP="00EF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7697639"/>
      <w:docPartObj>
        <w:docPartGallery w:val="Page Numbers (Bottom of Page)"/>
        <w:docPartUnique/>
      </w:docPartObj>
    </w:sdtPr>
    <w:sdtEndPr/>
    <w:sdtContent>
      <w:p w:rsidR="00EF4F11" w:rsidRDefault="00EF4F1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FB4">
          <w:rPr>
            <w:noProof/>
          </w:rPr>
          <w:t>3</w:t>
        </w:r>
        <w:r>
          <w:fldChar w:fldCharType="end"/>
        </w:r>
      </w:p>
    </w:sdtContent>
  </w:sdt>
  <w:p w:rsidR="00EF4F11" w:rsidRDefault="00EF4F1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4F8" w:rsidRDefault="001B74F8" w:rsidP="00EF4F11">
      <w:pPr>
        <w:spacing w:after="0" w:line="240" w:lineRule="auto"/>
      </w:pPr>
      <w:r>
        <w:separator/>
      </w:r>
    </w:p>
  </w:footnote>
  <w:footnote w:type="continuationSeparator" w:id="0">
    <w:p w:rsidR="001B74F8" w:rsidRDefault="001B74F8" w:rsidP="00EF4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E03E3"/>
    <w:multiLevelType w:val="hybridMultilevel"/>
    <w:tmpl w:val="D6809108"/>
    <w:lvl w:ilvl="0" w:tplc="8A6244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72C"/>
    <w:rsid w:val="0001257B"/>
    <w:rsid w:val="000313C3"/>
    <w:rsid w:val="00042999"/>
    <w:rsid w:val="001B74F8"/>
    <w:rsid w:val="003E76FF"/>
    <w:rsid w:val="00490FB4"/>
    <w:rsid w:val="0070772C"/>
    <w:rsid w:val="00836801"/>
    <w:rsid w:val="00866735"/>
    <w:rsid w:val="008C3D9D"/>
    <w:rsid w:val="00967268"/>
    <w:rsid w:val="00BE1C01"/>
    <w:rsid w:val="00DB2697"/>
    <w:rsid w:val="00E0676E"/>
    <w:rsid w:val="00ED22B2"/>
    <w:rsid w:val="00EF4F11"/>
    <w:rsid w:val="00EF6175"/>
    <w:rsid w:val="00F6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13C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F4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F4F11"/>
  </w:style>
  <w:style w:type="paragraph" w:styleId="Podnoje">
    <w:name w:val="footer"/>
    <w:basedOn w:val="Normal"/>
    <w:link w:val="PodnojeChar"/>
    <w:uiPriority w:val="99"/>
    <w:unhideWhenUsed/>
    <w:rsid w:val="00EF4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F4F11"/>
  </w:style>
  <w:style w:type="paragraph" w:styleId="Tekstbalonia">
    <w:name w:val="Balloon Text"/>
    <w:basedOn w:val="Normal"/>
    <w:link w:val="TekstbaloniaChar"/>
    <w:uiPriority w:val="99"/>
    <w:semiHidden/>
    <w:unhideWhenUsed/>
    <w:rsid w:val="00490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0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13C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F4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F4F11"/>
  </w:style>
  <w:style w:type="paragraph" w:styleId="Podnoje">
    <w:name w:val="footer"/>
    <w:basedOn w:val="Normal"/>
    <w:link w:val="PodnojeChar"/>
    <w:uiPriority w:val="99"/>
    <w:unhideWhenUsed/>
    <w:rsid w:val="00EF4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F4F11"/>
  </w:style>
  <w:style w:type="paragraph" w:styleId="Tekstbalonia">
    <w:name w:val="Balloon Text"/>
    <w:basedOn w:val="Normal"/>
    <w:link w:val="TekstbaloniaChar"/>
    <w:uiPriority w:val="99"/>
    <w:semiHidden/>
    <w:unhideWhenUsed/>
    <w:rsid w:val="00490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0F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Borčić</dc:creator>
  <cp:lastModifiedBy>Anamarija Borčić</cp:lastModifiedBy>
  <cp:revision>8</cp:revision>
  <cp:lastPrinted>2026-03-24T12:46:00Z</cp:lastPrinted>
  <dcterms:created xsi:type="dcterms:W3CDTF">2026-03-24T08:03:00Z</dcterms:created>
  <dcterms:modified xsi:type="dcterms:W3CDTF">2026-03-24T12:47:00Z</dcterms:modified>
</cp:coreProperties>
</file>