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8A" w:rsidRPr="001B2C8A" w:rsidRDefault="001B2C8A" w:rsidP="001B2C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GODIŠNJI IZVJEŠTAJ O IZVRŠENJU FINANCIJSKOG PLANA PRORAČUNSKOG KORISNIKA ZA 2025. GODINU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OPĆINSKO DRŽAVNO ODVJETNIŠTVO U PULI</w:t>
      </w:r>
      <w:r w:rsidR="00666C47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-POLA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Razdjel: 109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br/>
        <w:t>Glava: 85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br/>
        <w:t>RKP: 4817</w:t>
      </w:r>
    </w:p>
    <w:p w:rsidR="001B2C8A" w:rsidRDefault="00E92B01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pict>
          <v:rect id="_x0000_i1026" style="width:0;height:1.5pt" o:hralign="center" o:bullet="t" o:hrstd="t" o:hr="t" fillcolor="#a0a0a0" stroked="f"/>
        </w:pict>
      </w:r>
    </w:p>
    <w:p w:rsidR="000E38BD" w:rsidRDefault="000E38BD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E38BD" w:rsidRDefault="000E38BD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E38BD" w:rsidRPr="001B2C8A" w:rsidRDefault="000E38BD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B2C8A" w:rsidRDefault="001B2C8A" w:rsidP="001B2C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OPĆEG DIJELA IZVJEŠTAJA O IZVRŠENJU PRORAČUNA</w:t>
      </w:r>
    </w:p>
    <w:p w:rsidR="000E38BD" w:rsidRPr="001B2C8A" w:rsidRDefault="000E38BD" w:rsidP="001B2C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Temeljem Pravilnika o polugodišnjem i godišnjem izvještaju o izvršenju proračuna i financijskog plana (NN 85/2023) dostavlja se obrazloženje općeg i posebnog dijela godišnjeg izvještaja o izvršenju financijskog plana za 2025. godinu.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Financijski plan Općinskog državnog odvjetništva u Puli za 2025. godinu usklađen je s Državni</w:t>
      </w:r>
      <w:r w:rsidR="00A14B01">
        <w:rPr>
          <w:rFonts w:ascii="Arial" w:eastAsia="Times New Roman" w:hAnsi="Arial" w:cs="Arial"/>
          <w:sz w:val="24"/>
          <w:szCs w:val="24"/>
          <w:lang w:eastAsia="hr-HR"/>
        </w:rPr>
        <w:t>m proračunom Republike Hrvatske i objavljen na mre</w:t>
      </w:r>
      <w:r w:rsidR="000E38BD">
        <w:rPr>
          <w:rFonts w:ascii="Arial" w:eastAsia="Times New Roman" w:hAnsi="Arial" w:cs="Arial"/>
          <w:sz w:val="24"/>
          <w:szCs w:val="24"/>
          <w:lang w:eastAsia="hr-HR"/>
        </w:rPr>
        <w:t>žnim stranicama odvjetništva.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Općinsko državno odvjetništvo u Puli ostvaruje prihode iz:</w:t>
      </w:r>
    </w:p>
    <w:p w:rsidR="001B2C8A" w:rsidRPr="001B2C8A" w:rsidRDefault="001B2C8A" w:rsidP="001B2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Izvora 11 – Opći prihodi i primici </w:t>
      </w:r>
    </w:p>
    <w:p w:rsidR="001B2C8A" w:rsidRPr="001B2C8A" w:rsidRDefault="001B2C8A" w:rsidP="001B2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Izvora 31 – Vlastiti prihodi 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Ukupni prihodi za 2025. godinu ostvareni su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99,53%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u odnosu na tekući plan, dok su vlastiti prihodi ostvareni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117,03%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u odnosu na plan.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Ukupni rashodi izvršeni su također u visini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99,53%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u odnosu na tekući plan.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Struktura rashoda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Najveći udio u rashodima čine:</w:t>
      </w:r>
    </w:p>
    <w:p w:rsidR="001B2C8A" w:rsidRPr="001B2C8A" w:rsidRDefault="001B2C8A" w:rsidP="001B2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rashodi za zaposlene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– izvršeni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</w:p>
    <w:p w:rsidR="001B2C8A" w:rsidRPr="001B2C8A" w:rsidRDefault="001B2C8A" w:rsidP="001B2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materijalni rashodi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– izvršeni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96,96%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</w:p>
    <w:p w:rsidR="001B2C8A" w:rsidRPr="001B2C8A" w:rsidRDefault="001B2C8A" w:rsidP="001B2C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rashodi za usluge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– izvršeni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97,51%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Rashodi za zaposlene realizirani su u skladu s planom, bez značajnijih odstupanja.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br/>
        <w:t>Materijalni rashodi bilježe blago smanjenje u odnosu na plan, dok su pojedine stavke poput stručnog usavršavanja i naknada izvan radnog odnosa realizirane u manjem opsegu.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Financijski rashodi izvršeni su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99,80%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>, pri čemu su zatezne kamate gotovo u potpunosti izostale.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Rashodi za nabavu nefinancijske imovine realizirani su u cijelosti (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) te se odnose </w:t>
      </w:r>
      <w:r w:rsidR="000E38BD">
        <w:rPr>
          <w:rFonts w:ascii="Arial" w:eastAsia="Times New Roman" w:hAnsi="Arial" w:cs="Arial"/>
          <w:sz w:val="24"/>
          <w:szCs w:val="24"/>
          <w:lang w:eastAsia="hr-HR"/>
        </w:rPr>
        <w:t>na nabavu prijevoznih sredstava</w:t>
      </w:r>
    </w:p>
    <w:p w:rsidR="001B2C8A" w:rsidRPr="001B2C8A" w:rsidRDefault="001B2C8A" w:rsidP="001B2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Prihodi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Prihodi iz nadležnog proračuna ostvareni su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99,53%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i čine glavni izvor financiranja.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br/>
        <w:t>Vlastiti prihodi ostvareni su iznad plana (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117,03%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>), ali i dalje predstavljaju manji udio u ukupnim prihodima.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Prema funkcijskoj klasifikaciji,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100% rashoda odnosi se na javni red i sigurnost (0330 – sudovi)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1B2C8A" w:rsidRDefault="00E92B01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pict>
          <v:rect id="_x0000_i1027" style="width:0;height:1.5pt" o:hralign="center" o:hrstd="t" o:hr="t" fillcolor="#a0a0a0" stroked="f"/>
        </w:pict>
      </w:r>
    </w:p>
    <w:p w:rsidR="001B2C8A" w:rsidRDefault="001B2C8A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B2C8A" w:rsidRDefault="001B2C8A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B2C8A" w:rsidRPr="001B2C8A" w:rsidRDefault="001B2C8A" w:rsidP="001B2C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B2C8A" w:rsidRDefault="001B2C8A" w:rsidP="001B2C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OBRAZLOŽENJE POSEBNOG DIJELA</w:t>
      </w:r>
    </w:p>
    <w:p w:rsidR="001B2C8A" w:rsidRPr="001B2C8A" w:rsidRDefault="001B2C8A" w:rsidP="001B2C8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U posebnom dijelu izvještaja prihodi i rashodi prikazani su prema programskoj klasifikaciji.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Cjelokupni financijski plan realiziran je kroz program: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2812 – Djelovanje državnih odvjetništava</w:t>
      </w:r>
    </w:p>
    <w:p w:rsidR="000E38BD" w:rsidRDefault="000E38BD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Progon počinitelja kaznenih i kažnjivih djela i zaštita imovine RH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Rashodi poslovanja izvršeni su u iznosu od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99,53%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u odnosu na plan.</w:t>
      </w:r>
    </w:p>
    <w:p w:rsidR="001B2C8A" w:rsidRPr="001B2C8A" w:rsidRDefault="001B2C8A" w:rsidP="001B2C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Rashodi za zaposlene: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Materijalni rashodi: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96,96%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Financijski rashodi: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99,80%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Unutar materijalnih rashoda:</w:t>
      </w:r>
    </w:p>
    <w:p w:rsidR="001B2C8A" w:rsidRPr="001B2C8A" w:rsidRDefault="001B2C8A" w:rsidP="001B2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naknade zaposlenima: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98,70%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rashodi za materijal i energiju: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rashodi za usluge: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97,51%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ostali rashodi poslovanja: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78,47%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E38BD" w:rsidRDefault="000E38BD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lastRenderedPageBreak/>
        <w:t>Najveće odstupanje vidljivo je kod:</w:t>
      </w:r>
    </w:p>
    <w:p w:rsidR="001B2C8A" w:rsidRPr="001B2C8A" w:rsidRDefault="001B2C8A" w:rsidP="001B2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naknada osobama izvan radnog odnosa (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3,13%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</w:p>
    <w:p w:rsidR="001B2C8A" w:rsidRPr="001B2C8A" w:rsidRDefault="001B2C8A" w:rsidP="001B2C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ostalih nespomenutih rashoda (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78,47%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</w:p>
    <w:p w:rsidR="001B2C8A" w:rsidRP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Rashodi za nabavu nefinancijske imovine izvršeni su u potpunosti (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100,00%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>) i odnose se na nabavu prijevoznih sredstava.</w:t>
      </w:r>
    </w:p>
    <w:p w:rsidR="001B2C8A" w:rsidRPr="001B2C8A" w:rsidRDefault="001B2C8A" w:rsidP="001B2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Izvori financiranja</w:t>
      </w:r>
    </w:p>
    <w:p w:rsidR="001B2C8A" w:rsidRPr="001B2C8A" w:rsidRDefault="001B2C8A" w:rsidP="001B2C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Izvor 11 – Opći prihodi i primici: izvršenje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99,53%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Pr="001B2C8A" w:rsidRDefault="001B2C8A" w:rsidP="001B2C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Izvor 31 – Vlastiti prihodi: izvršenje </w:t>
      </w:r>
      <w:r w:rsidRPr="001B2C8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117,03%</w:t>
      </w:r>
      <w:r w:rsidRPr="001B2C8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1B2C8A" w:rsidRDefault="001B2C8A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1B2C8A">
        <w:rPr>
          <w:rFonts w:ascii="Arial" w:eastAsia="Times New Roman" w:hAnsi="Arial" w:cs="Arial"/>
          <w:sz w:val="24"/>
          <w:szCs w:val="24"/>
          <w:lang w:eastAsia="hr-HR"/>
        </w:rPr>
        <w:t>Vlastiti prihodi odnose se na prihode od pruženih usluga (npr. preslike spisa) te su ostvareni u nešto većem iznosu od planiranog.</w:t>
      </w:r>
    </w:p>
    <w:p w:rsidR="006772A4" w:rsidRDefault="006772A4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6772A4" w:rsidRDefault="006772A4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146EEB" w:rsidRDefault="00146EEB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5919F4" w:rsidRDefault="005919F4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</w:p>
    <w:p w:rsidR="00146EEB" w:rsidRPr="005919F4" w:rsidRDefault="00146EEB" w:rsidP="005919F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eastAsia="Times New Roman"/>
          <w:lang w:eastAsia="hr-HR"/>
        </w:rPr>
        <w:tab/>
      </w:r>
      <w:r w:rsidR="00A54160">
        <w:rPr>
          <w:rFonts w:eastAsia="Times New Roman"/>
          <w:lang w:eastAsia="hr-HR"/>
        </w:rPr>
        <w:tab/>
      </w:r>
      <w:r w:rsidR="005919F4">
        <w:rPr>
          <w:rFonts w:eastAsia="Times New Roman"/>
          <w:lang w:eastAsia="hr-HR"/>
        </w:rPr>
        <w:tab/>
      </w:r>
      <w:r w:rsidR="005919F4">
        <w:rPr>
          <w:rFonts w:eastAsia="Times New Roman"/>
          <w:lang w:eastAsia="hr-HR"/>
        </w:rPr>
        <w:tab/>
      </w:r>
      <w:r w:rsidR="005919F4">
        <w:rPr>
          <w:rFonts w:eastAsia="Times New Roman"/>
          <w:lang w:eastAsia="hr-HR"/>
        </w:rPr>
        <w:tab/>
      </w:r>
      <w:r w:rsidR="005919F4">
        <w:rPr>
          <w:rFonts w:eastAsia="Times New Roman"/>
          <w:lang w:eastAsia="hr-HR"/>
        </w:rPr>
        <w:tab/>
      </w:r>
      <w:r w:rsidR="005919F4">
        <w:rPr>
          <w:rFonts w:eastAsia="Times New Roman"/>
          <w:lang w:eastAsia="hr-HR"/>
        </w:rPr>
        <w:tab/>
      </w:r>
      <w:r w:rsidR="005919F4">
        <w:rPr>
          <w:rFonts w:eastAsia="Times New Roman"/>
          <w:lang w:eastAsia="hr-HR"/>
        </w:rPr>
        <w:tab/>
      </w:r>
      <w:r w:rsidRPr="005919F4">
        <w:rPr>
          <w:rFonts w:ascii="Arial" w:hAnsi="Arial" w:cs="Arial"/>
          <w:sz w:val="24"/>
          <w:szCs w:val="24"/>
        </w:rPr>
        <w:t>Z A M J E N I C A</w:t>
      </w:r>
    </w:p>
    <w:p w:rsidR="00146EEB" w:rsidRPr="005919F4" w:rsidRDefault="004B0421" w:rsidP="005919F4">
      <w:pPr>
        <w:pStyle w:val="Bezproreda"/>
        <w:ind w:left="4248"/>
        <w:rPr>
          <w:rFonts w:ascii="Arial" w:hAnsi="Arial" w:cs="Arial"/>
          <w:sz w:val="24"/>
          <w:szCs w:val="24"/>
        </w:rPr>
      </w:pPr>
      <w:r w:rsidRPr="005919F4">
        <w:rPr>
          <w:rFonts w:ascii="Arial" w:hAnsi="Arial" w:cs="Arial"/>
          <w:sz w:val="24"/>
          <w:szCs w:val="24"/>
        </w:rPr>
        <w:t>OPĆINS</w:t>
      </w:r>
      <w:r w:rsidR="00D23478" w:rsidRPr="005919F4">
        <w:rPr>
          <w:rFonts w:ascii="Arial" w:hAnsi="Arial" w:cs="Arial"/>
          <w:sz w:val="24"/>
          <w:szCs w:val="24"/>
        </w:rPr>
        <w:t>KOG</w:t>
      </w:r>
      <w:r w:rsidR="00146EEB" w:rsidRPr="005919F4">
        <w:rPr>
          <w:rFonts w:ascii="Arial" w:hAnsi="Arial" w:cs="Arial"/>
          <w:sz w:val="24"/>
          <w:szCs w:val="24"/>
        </w:rPr>
        <w:t xml:space="preserve"> DRŽAVNOG ODVJETNIKA</w:t>
      </w:r>
    </w:p>
    <w:p w:rsidR="00146EEB" w:rsidRPr="005919F4" w:rsidRDefault="00146EEB" w:rsidP="005919F4">
      <w:pPr>
        <w:pStyle w:val="Bezproreda"/>
        <w:ind w:left="2832"/>
        <w:rPr>
          <w:rFonts w:ascii="Arial" w:hAnsi="Arial" w:cs="Arial"/>
          <w:sz w:val="24"/>
          <w:szCs w:val="24"/>
        </w:rPr>
      </w:pPr>
      <w:r w:rsidRPr="005919F4">
        <w:rPr>
          <w:rFonts w:ascii="Arial" w:hAnsi="Arial" w:cs="Arial"/>
          <w:sz w:val="24"/>
          <w:szCs w:val="24"/>
        </w:rPr>
        <w:t>ovlaštena obavljati poslove općinskog državnog odvjetnika</w:t>
      </w:r>
    </w:p>
    <w:p w:rsidR="00146EEB" w:rsidRPr="005919F4" w:rsidRDefault="00A54160" w:rsidP="005919F4">
      <w:pPr>
        <w:pStyle w:val="Bezproreda"/>
        <w:rPr>
          <w:rFonts w:ascii="Arial" w:eastAsia="Times New Roman" w:hAnsi="Arial" w:cs="Arial"/>
          <w:sz w:val="24"/>
          <w:szCs w:val="24"/>
          <w:lang w:eastAsia="hr-HR"/>
        </w:rPr>
      </w:pP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666C47" w:rsidRPr="005919F4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="005919F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5919F4">
        <w:rPr>
          <w:rFonts w:ascii="Arial" w:eastAsia="Times New Roman" w:hAnsi="Arial" w:cs="Arial"/>
          <w:sz w:val="24"/>
          <w:szCs w:val="24"/>
          <w:lang w:eastAsia="hr-HR"/>
        </w:rPr>
        <w:t xml:space="preserve">Maja </w:t>
      </w:r>
      <w:proofErr w:type="spellStart"/>
      <w:r w:rsidRPr="005919F4">
        <w:rPr>
          <w:rFonts w:ascii="Arial" w:eastAsia="Times New Roman" w:hAnsi="Arial" w:cs="Arial"/>
          <w:sz w:val="24"/>
          <w:szCs w:val="24"/>
          <w:lang w:eastAsia="hr-HR"/>
        </w:rPr>
        <w:t>Krahulec</w:t>
      </w:r>
      <w:proofErr w:type="spellEnd"/>
      <w:r w:rsidRPr="005919F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A54160" w:rsidRPr="005919F4" w:rsidRDefault="00A54160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54160" w:rsidRDefault="00A54160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54160" w:rsidRDefault="00A54160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54160" w:rsidRDefault="00A54160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54160" w:rsidRDefault="00A54160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A54160" w:rsidRDefault="00A54160" w:rsidP="00A5416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Pula, 23.ožujka 2026. </w:t>
      </w:r>
    </w:p>
    <w:p w:rsidR="00A54160" w:rsidRPr="001B2C8A" w:rsidRDefault="00A54160" w:rsidP="001B2C8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0070C5" w:rsidRPr="001B2C8A" w:rsidRDefault="000070C5">
      <w:pPr>
        <w:rPr>
          <w:rFonts w:ascii="Arial" w:hAnsi="Arial" w:cs="Arial"/>
          <w:sz w:val="24"/>
          <w:szCs w:val="24"/>
        </w:rPr>
      </w:pPr>
    </w:p>
    <w:sectPr w:rsidR="000070C5" w:rsidRPr="001B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6" style="width:0;height:1.5pt" o:hralign="center" o:bullet="t" o:hrstd="t" o:hr="t" fillcolor="#a0a0a0" stroked="f"/>
    </w:pict>
  </w:numPicBullet>
  <w:abstractNum w:abstractNumId="0" w15:restartNumberingAfterBreak="0">
    <w:nsid w:val="06465953"/>
    <w:multiLevelType w:val="multilevel"/>
    <w:tmpl w:val="FC2A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9270D"/>
    <w:multiLevelType w:val="multilevel"/>
    <w:tmpl w:val="A73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5225A"/>
    <w:multiLevelType w:val="multilevel"/>
    <w:tmpl w:val="13DE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E059E"/>
    <w:multiLevelType w:val="multilevel"/>
    <w:tmpl w:val="41A2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86E30"/>
    <w:multiLevelType w:val="multilevel"/>
    <w:tmpl w:val="112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A4922"/>
    <w:multiLevelType w:val="multilevel"/>
    <w:tmpl w:val="B7C0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8A"/>
    <w:rsid w:val="000070C5"/>
    <w:rsid w:val="000E38BD"/>
    <w:rsid w:val="00146EEB"/>
    <w:rsid w:val="001B2C8A"/>
    <w:rsid w:val="004B0421"/>
    <w:rsid w:val="005919F4"/>
    <w:rsid w:val="00666C47"/>
    <w:rsid w:val="006772A4"/>
    <w:rsid w:val="00A14B01"/>
    <w:rsid w:val="00A54160"/>
    <w:rsid w:val="00C65E5F"/>
    <w:rsid w:val="00CE3D35"/>
    <w:rsid w:val="00D23478"/>
    <w:rsid w:val="00E9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CD28B"/>
  <w15:chartTrackingRefBased/>
  <w15:docId w15:val="{33EA6E73-212E-410F-B4F3-FE51096C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1B2C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B2C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1B2C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B2C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B2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B2C8A"/>
    <w:rPr>
      <w:b/>
      <w:bCs/>
    </w:rPr>
  </w:style>
  <w:style w:type="paragraph" w:styleId="Bezproreda">
    <w:name w:val="No Spacing"/>
    <w:uiPriority w:val="1"/>
    <w:qFormat/>
    <w:rsid w:val="005919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A8AD-197D-4174-8F4B-FD80E8852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Brščić Vitasović</dc:creator>
  <cp:keywords/>
  <dc:description/>
  <cp:lastModifiedBy>Mirjana Brščić Vitasović</cp:lastModifiedBy>
  <cp:revision>6</cp:revision>
  <dcterms:created xsi:type="dcterms:W3CDTF">2026-03-23T12:36:00Z</dcterms:created>
  <dcterms:modified xsi:type="dcterms:W3CDTF">2026-03-24T13:19:00Z</dcterms:modified>
</cp:coreProperties>
</file>