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280F4" w14:textId="3BD310CA" w:rsidR="007A7E45" w:rsidRDefault="00DE5409" w:rsidP="00DE5409">
      <w:pPr>
        <w:jc w:val="center"/>
        <w:rPr>
          <w:b/>
          <w:sz w:val="36"/>
          <w:szCs w:val="36"/>
        </w:rPr>
      </w:pPr>
      <w:r w:rsidRPr="00DE5409">
        <w:rPr>
          <w:b/>
          <w:sz w:val="36"/>
          <w:szCs w:val="36"/>
        </w:rPr>
        <w:t xml:space="preserve">Obrazloženje </w:t>
      </w:r>
      <w:r w:rsidR="00D74755">
        <w:rPr>
          <w:b/>
          <w:sz w:val="36"/>
          <w:szCs w:val="36"/>
        </w:rPr>
        <w:t xml:space="preserve">izvršenja </w:t>
      </w:r>
      <w:r w:rsidRPr="00DE5409">
        <w:rPr>
          <w:b/>
          <w:sz w:val="36"/>
          <w:szCs w:val="36"/>
        </w:rPr>
        <w:t xml:space="preserve">Financijskog plana </w:t>
      </w:r>
      <w:r w:rsidR="00334493">
        <w:rPr>
          <w:b/>
          <w:sz w:val="36"/>
          <w:szCs w:val="36"/>
        </w:rPr>
        <w:t>Državnog odvjetništva Republike Hrvatske</w:t>
      </w:r>
      <w:r w:rsidRPr="00DE5409">
        <w:rPr>
          <w:b/>
          <w:sz w:val="36"/>
          <w:szCs w:val="36"/>
        </w:rPr>
        <w:t xml:space="preserve"> za </w:t>
      </w:r>
      <w:r w:rsidR="00D74755">
        <w:rPr>
          <w:b/>
          <w:sz w:val="36"/>
          <w:szCs w:val="36"/>
        </w:rPr>
        <w:t>202</w:t>
      </w:r>
      <w:r w:rsidR="008E2AD6">
        <w:rPr>
          <w:b/>
          <w:sz w:val="36"/>
          <w:szCs w:val="36"/>
        </w:rPr>
        <w:t>5</w:t>
      </w:r>
      <w:r w:rsidR="00D74755">
        <w:rPr>
          <w:b/>
          <w:sz w:val="36"/>
          <w:szCs w:val="36"/>
        </w:rPr>
        <w:t>. godinu</w:t>
      </w:r>
    </w:p>
    <w:p w14:paraId="5DCA06BA" w14:textId="77777777" w:rsidR="00B22582" w:rsidRDefault="00B22582" w:rsidP="00DE5409">
      <w:pPr>
        <w:jc w:val="center"/>
        <w:rPr>
          <w:b/>
          <w:sz w:val="36"/>
          <w:szCs w:val="36"/>
        </w:rPr>
      </w:pPr>
    </w:p>
    <w:p w14:paraId="471BF541" w14:textId="77777777" w:rsidR="00B924BC" w:rsidRDefault="00B924BC">
      <w:pPr>
        <w:jc w:val="left"/>
      </w:pPr>
    </w:p>
    <w:p w14:paraId="169C9169" w14:textId="47EC789A" w:rsidR="00B924BC" w:rsidRDefault="00817FBD" w:rsidP="00817FBD">
      <w:pPr>
        <w:pStyle w:val="Naslov3"/>
        <w:pBdr>
          <w:top w:val="single" w:sz="4" w:space="0" w:color="auto"/>
        </w:pBdr>
      </w:pPr>
      <w:r>
        <w:t>10940 Državno odvjetništvo Republike Hrvatske</w:t>
      </w:r>
    </w:p>
    <w:tbl>
      <w:tblPr>
        <w:tblStyle w:val="StilTablice"/>
        <w:tblW w:w="10207" w:type="dxa"/>
        <w:jc w:val="center"/>
        <w:tblLayout w:type="fixed"/>
        <w:tblLook w:val="04A0" w:firstRow="1" w:lastRow="0" w:firstColumn="1" w:lastColumn="0" w:noHBand="0" w:noVBand="1"/>
      </w:tblPr>
      <w:tblGrid>
        <w:gridCol w:w="1136"/>
        <w:gridCol w:w="1843"/>
        <w:gridCol w:w="1836"/>
        <w:gridCol w:w="1708"/>
        <w:gridCol w:w="1701"/>
        <w:gridCol w:w="1127"/>
        <w:gridCol w:w="856"/>
      </w:tblGrid>
      <w:tr w:rsidR="00AF785D" w14:paraId="64AC7495" w14:textId="77777777" w:rsidTr="00FF60AC">
        <w:trPr>
          <w:trHeight w:val="1074"/>
          <w:jc w:val="center"/>
        </w:trPr>
        <w:tc>
          <w:tcPr>
            <w:tcW w:w="1136" w:type="dxa"/>
            <w:shd w:val="clear" w:color="auto" w:fill="B5C0D8"/>
          </w:tcPr>
          <w:p w14:paraId="0F8337F9" w14:textId="77777777" w:rsidR="00AF785D" w:rsidRDefault="00AF785D">
            <w:pPr>
              <w:pStyle w:val="CellHeader"/>
              <w:jc w:val="center"/>
            </w:pPr>
          </w:p>
        </w:tc>
        <w:tc>
          <w:tcPr>
            <w:tcW w:w="1843" w:type="dxa"/>
            <w:shd w:val="clear" w:color="auto" w:fill="B5C0D8"/>
          </w:tcPr>
          <w:p w14:paraId="3807023B" w14:textId="677ECFF9" w:rsidR="00AF785D" w:rsidRDefault="00D54855" w:rsidP="00CD0268">
            <w:pPr>
              <w:pStyle w:val="CellHeader"/>
              <w:jc w:val="center"/>
            </w:pPr>
            <w:r>
              <w:rPr>
                <w:rFonts w:cs="Times New Roman"/>
              </w:rPr>
              <w:t>Izvršenje 202</w:t>
            </w:r>
            <w:r w:rsidR="00AA420B">
              <w:rPr>
                <w:rFonts w:cs="Times New Roman"/>
              </w:rPr>
              <w:t>4</w:t>
            </w:r>
            <w:r w:rsidR="00AF785D">
              <w:rPr>
                <w:rFonts w:cs="Times New Roman"/>
              </w:rPr>
              <w:t>.</w:t>
            </w:r>
          </w:p>
        </w:tc>
        <w:tc>
          <w:tcPr>
            <w:tcW w:w="1836" w:type="dxa"/>
            <w:shd w:val="clear" w:color="auto" w:fill="B5C0D8"/>
          </w:tcPr>
          <w:p w14:paraId="10DB1BBE" w14:textId="41C2D4D7" w:rsidR="00AF785D" w:rsidRDefault="00D54855" w:rsidP="00D74755">
            <w:pPr>
              <w:pStyle w:val="CellHeader"/>
              <w:jc w:val="center"/>
              <w:rPr>
                <w:rFonts w:cs="Times New Roman"/>
              </w:rPr>
            </w:pPr>
            <w:r>
              <w:rPr>
                <w:rFonts w:cs="Times New Roman"/>
              </w:rPr>
              <w:t>Plan 202</w:t>
            </w:r>
            <w:r w:rsidR="00AA420B">
              <w:rPr>
                <w:rFonts w:cs="Times New Roman"/>
              </w:rPr>
              <w:t>5</w:t>
            </w:r>
          </w:p>
          <w:p w14:paraId="7FED62CD" w14:textId="64D2B50A" w:rsidR="00AF785D" w:rsidRDefault="00AF785D" w:rsidP="00D74755">
            <w:pPr>
              <w:pStyle w:val="CellHeader"/>
              <w:jc w:val="center"/>
            </w:pPr>
          </w:p>
        </w:tc>
        <w:tc>
          <w:tcPr>
            <w:tcW w:w="1708" w:type="dxa"/>
            <w:shd w:val="clear" w:color="auto" w:fill="B5C0D8"/>
          </w:tcPr>
          <w:p w14:paraId="40FA5E85" w14:textId="6815CC87" w:rsidR="00AF785D" w:rsidRDefault="00D74755" w:rsidP="00D74755">
            <w:pPr>
              <w:pStyle w:val="CellHeader"/>
              <w:jc w:val="center"/>
              <w:rPr>
                <w:rFonts w:cs="Times New Roman"/>
              </w:rPr>
            </w:pPr>
            <w:r>
              <w:rPr>
                <w:rFonts w:cs="Times New Roman"/>
              </w:rPr>
              <w:t>Tekući plan</w:t>
            </w:r>
          </w:p>
          <w:p w14:paraId="2797E2EF" w14:textId="506A4CE3" w:rsidR="00AF785D" w:rsidRDefault="00D74755" w:rsidP="00D74755">
            <w:pPr>
              <w:pStyle w:val="CellHeader"/>
              <w:jc w:val="center"/>
              <w:rPr>
                <w:rFonts w:cs="Times New Roman"/>
              </w:rPr>
            </w:pPr>
            <w:r>
              <w:rPr>
                <w:rFonts w:cs="Times New Roman"/>
              </w:rPr>
              <w:t>202</w:t>
            </w:r>
            <w:r w:rsidR="00AA420B">
              <w:rPr>
                <w:rFonts w:cs="Times New Roman"/>
              </w:rPr>
              <w:t>5</w:t>
            </w:r>
          </w:p>
        </w:tc>
        <w:tc>
          <w:tcPr>
            <w:tcW w:w="1701" w:type="dxa"/>
            <w:shd w:val="clear" w:color="auto" w:fill="B5C0D8"/>
          </w:tcPr>
          <w:p w14:paraId="23E6A53F" w14:textId="41403889" w:rsidR="00AF785D" w:rsidRDefault="00D74755" w:rsidP="00D74755">
            <w:pPr>
              <w:pStyle w:val="CellHeader"/>
              <w:jc w:val="center"/>
              <w:rPr>
                <w:rFonts w:cs="Times New Roman"/>
              </w:rPr>
            </w:pPr>
            <w:r>
              <w:rPr>
                <w:rFonts w:cs="Times New Roman"/>
              </w:rPr>
              <w:t>Izvršenje 202</w:t>
            </w:r>
            <w:r w:rsidR="00AA420B">
              <w:rPr>
                <w:rFonts w:cs="Times New Roman"/>
              </w:rPr>
              <w:t>5</w:t>
            </w:r>
            <w:r w:rsidR="00AF785D">
              <w:rPr>
                <w:rFonts w:cs="Times New Roman"/>
              </w:rPr>
              <w:t>.</w:t>
            </w:r>
          </w:p>
          <w:p w14:paraId="54941587" w14:textId="77777777" w:rsidR="00AF785D" w:rsidRDefault="00AF785D" w:rsidP="00D74755">
            <w:pPr>
              <w:pStyle w:val="CellHeader"/>
              <w:jc w:val="center"/>
              <w:rPr>
                <w:rFonts w:cs="Times New Roman"/>
              </w:rPr>
            </w:pPr>
          </w:p>
        </w:tc>
        <w:tc>
          <w:tcPr>
            <w:tcW w:w="1127" w:type="dxa"/>
            <w:shd w:val="clear" w:color="auto" w:fill="B5C0D8"/>
          </w:tcPr>
          <w:p w14:paraId="617289E6" w14:textId="115C5837" w:rsidR="00AF785D" w:rsidRDefault="00D74755" w:rsidP="00D74755">
            <w:pPr>
              <w:pStyle w:val="CellHeader"/>
              <w:jc w:val="center"/>
              <w:rPr>
                <w:rFonts w:cs="Times New Roman"/>
              </w:rPr>
            </w:pPr>
            <w:r>
              <w:rPr>
                <w:rFonts w:cs="Times New Roman"/>
              </w:rPr>
              <w:t>Indeks izvršenja 202</w:t>
            </w:r>
            <w:r w:rsidR="00AA420B">
              <w:rPr>
                <w:rFonts w:cs="Times New Roman"/>
              </w:rPr>
              <w:t>5</w:t>
            </w:r>
            <w:r>
              <w:rPr>
                <w:rFonts w:cs="Times New Roman"/>
              </w:rPr>
              <w:t>/plan 202</w:t>
            </w:r>
            <w:r w:rsidR="00AA420B">
              <w:rPr>
                <w:rFonts w:cs="Times New Roman"/>
              </w:rPr>
              <w:t>5</w:t>
            </w:r>
          </w:p>
          <w:p w14:paraId="73AA4896" w14:textId="77777777" w:rsidR="00AF785D" w:rsidRDefault="00AF785D" w:rsidP="00D74755">
            <w:pPr>
              <w:pStyle w:val="CellHeader"/>
              <w:jc w:val="center"/>
              <w:rPr>
                <w:rFonts w:cs="Times New Roman"/>
              </w:rPr>
            </w:pPr>
          </w:p>
        </w:tc>
        <w:tc>
          <w:tcPr>
            <w:tcW w:w="856" w:type="dxa"/>
            <w:shd w:val="clear" w:color="auto" w:fill="B5C0D8"/>
          </w:tcPr>
          <w:p w14:paraId="3459660B" w14:textId="08896820" w:rsidR="00AF785D" w:rsidRDefault="00D74755" w:rsidP="00D74755">
            <w:pPr>
              <w:pStyle w:val="CellHeader"/>
              <w:jc w:val="center"/>
            </w:pPr>
            <w:r>
              <w:rPr>
                <w:rFonts w:cs="Times New Roman"/>
              </w:rPr>
              <w:t>Indeks 202</w:t>
            </w:r>
            <w:r w:rsidR="00AA420B">
              <w:rPr>
                <w:rFonts w:cs="Times New Roman"/>
              </w:rPr>
              <w:t>5</w:t>
            </w:r>
            <w:r>
              <w:rPr>
                <w:rFonts w:cs="Times New Roman"/>
              </w:rPr>
              <w:t>/202</w:t>
            </w:r>
            <w:r w:rsidR="00AA420B">
              <w:rPr>
                <w:rFonts w:cs="Times New Roman"/>
              </w:rPr>
              <w:t>4</w:t>
            </w:r>
          </w:p>
        </w:tc>
      </w:tr>
      <w:tr w:rsidR="00AF785D" w14:paraId="7D580623" w14:textId="77777777" w:rsidTr="00FF60AC">
        <w:trPr>
          <w:jc w:val="center"/>
        </w:trPr>
        <w:tc>
          <w:tcPr>
            <w:tcW w:w="1136" w:type="dxa"/>
          </w:tcPr>
          <w:p w14:paraId="470167FF" w14:textId="055EE9DC" w:rsidR="00AF785D" w:rsidRDefault="00CC568C">
            <w:pPr>
              <w:pStyle w:val="CellColumn"/>
              <w:jc w:val="left"/>
            </w:pPr>
            <w:r>
              <w:t>10940</w:t>
            </w:r>
          </w:p>
        </w:tc>
        <w:tc>
          <w:tcPr>
            <w:tcW w:w="1843" w:type="dxa"/>
          </w:tcPr>
          <w:p w14:paraId="1BFF82BF" w14:textId="079EAAE5" w:rsidR="00AF785D" w:rsidRDefault="00AA420B" w:rsidP="006044F0">
            <w:pPr>
              <w:jc w:val="center"/>
            </w:pPr>
            <w:r>
              <w:t>9.495.341,81</w:t>
            </w:r>
          </w:p>
        </w:tc>
        <w:tc>
          <w:tcPr>
            <w:tcW w:w="1836" w:type="dxa"/>
          </w:tcPr>
          <w:p w14:paraId="34479C73" w14:textId="6369E93F" w:rsidR="00AF785D" w:rsidRDefault="00E66BAD" w:rsidP="00AF785D">
            <w:pPr>
              <w:jc w:val="center"/>
            </w:pPr>
            <w:r>
              <w:t>14.166.780,00</w:t>
            </w:r>
          </w:p>
        </w:tc>
        <w:tc>
          <w:tcPr>
            <w:tcW w:w="1708" w:type="dxa"/>
          </w:tcPr>
          <w:p w14:paraId="0705CF28" w14:textId="16501B57" w:rsidR="00AF785D" w:rsidRDefault="00E66BAD" w:rsidP="00AF785D">
            <w:pPr>
              <w:jc w:val="center"/>
            </w:pPr>
            <w:r>
              <w:t>11.914.853,00</w:t>
            </w:r>
          </w:p>
        </w:tc>
        <w:tc>
          <w:tcPr>
            <w:tcW w:w="1701" w:type="dxa"/>
          </w:tcPr>
          <w:p w14:paraId="45B9D33B" w14:textId="54293829" w:rsidR="00AF785D" w:rsidRDefault="00E66BAD" w:rsidP="00AF785D">
            <w:pPr>
              <w:jc w:val="center"/>
            </w:pPr>
            <w:r>
              <w:t>11.212.730,06</w:t>
            </w:r>
          </w:p>
        </w:tc>
        <w:tc>
          <w:tcPr>
            <w:tcW w:w="1127" w:type="dxa"/>
          </w:tcPr>
          <w:p w14:paraId="78273942" w14:textId="6FF5DA23" w:rsidR="00AF785D" w:rsidRDefault="00E66BAD" w:rsidP="00AF785D">
            <w:pPr>
              <w:jc w:val="center"/>
            </w:pPr>
            <w:r>
              <w:t>94,10</w:t>
            </w:r>
          </w:p>
        </w:tc>
        <w:tc>
          <w:tcPr>
            <w:tcW w:w="856" w:type="dxa"/>
          </w:tcPr>
          <w:p w14:paraId="3D3A36E0" w14:textId="162BCCA1" w:rsidR="00AF785D" w:rsidRDefault="00E66BAD" w:rsidP="00AF785D">
            <w:pPr>
              <w:jc w:val="center"/>
            </w:pPr>
            <w:r>
              <w:t>118,10</w:t>
            </w:r>
          </w:p>
        </w:tc>
      </w:tr>
    </w:tbl>
    <w:p w14:paraId="3E30CED5" w14:textId="77777777" w:rsidR="00247427" w:rsidRDefault="00247427">
      <w:pPr>
        <w:jc w:val="left"/>
      </w:pPr>
    </w:p>
    <w:p w14:paraId="34F079F5" w14:textId="4D85CA4F" w:rsidR="00B924BC" w:rsidRDefault="00247427">
      <w:pPr>
        <w:jc w:val="left"/>
      </w:pPr>
      <w:r w:rsidRPr="00D54855">
        <w:t>Državno odvjetništvo Republike Hrvatske zastupa Republiku Hrvatsku, poduzima pravne radnje iz svoje nadležnosti radi zaštite Ustava i zakonitosti pred Ustavnim sudom Republike Hrvatske, poduzima radnje iz svoje nadležnosti pred Vrhovnim sudom RH, Visokim upravnim sudom RH, Visokim trgovačkim sudom RH, Visokim prekršajnim sudom RH, međunarodnim, te stranim sudskim i drugim tijelima. Državno odvjetništvo Republike Hrvatske na čelu s Glavnim državnim odvjetnikom vodi nadzor nad radom cjelokupne državnoodvjetničke organizacije, a posebice skrbi o urednom i pravodobnom obavljanju poslova u državnom odvjetništvu, obavlja poslove u svezi s predstavkama i pritužbama na rad Državnog odvjetništva, skrbi o stručnom usavršavanju državnih odvjetnika, zamjenika državnih odvjetnika, savjetnika, vježbenika i drugih službenika i namještenika u državnom odvjetništvu, vodi statistiku te obavlja i druge poslove propisane Zakonom i Poslovnikom državnog odvjetništva.</w:t>
      </w:r>
    </w:p>
    <w:p w14:paraId="20AF1756" w14:textId="77777777" w:rsidR="00CC568C" w:rsidRDefault="00CC568C">
      <w:pPr>
        <w:jc w:val="left"/>
      </w:pPr>
    </w:p>
    <w:p w14:paraId="01E2CFF4" w14:textId="5371FA6E" w:rsidR="00CC568C" w:rsidRDefault="00CC568C" w:rsidP="00CC568C">
      <w:pPr>
        <w:pStyle w:val="Naslov3"/>
        <w:pBdr>
          <w:top w:val="single" w:sz="4" w:space="0" w:color="auto"/>
        </w:pBdr>
      </w:pPr>
      <w:r>
        <w:t>2812 Djelovanje državnih odvjetništava</w:t>
      </w:r>
    </w:p>
    <w:tbl>
      <w:tblPr>
        <w:tblStyle w:val="StilTablice"/>
        <w:tblW w:w="10207" w:type="dxa"/>
        <w:jc w:val="center"/>
        <w:tblLayout w:type="fixed"/>
        <w:tblLook w:val="04A0" w:firstRow="1" w:lastRow="0" w:firstColumn="1" w:lastColumn="0" w:noHBand="0" w:noVBand="1"/>
      </w:tblPr>
      <w:tblGrid>
        <w:gridCol w:w="1136"/>
        <w:gridCol w:w="1843"/>
        <w:gridCol w:w="1836"/>
        <w:gridCol w:w="1708"/>
        <w:gridCol w:w="1701"/>
        <w:gridCol w:w="1127"/>
        <w:gridCol w:w="856"/>
      </w:tblGrid>
      <w:tr w:rsidR="00CC568C" w14:paraId="79773929" w14:textId="77777777" w:rsidTr="00FF60AC">
        <w:trPr>
          <w:trHeight w:val="1074"/>
          <w:jc w:val="center"/>
        </w:trPr>
        <w:tc>
          <w:tcPr>
            <w:tcW w:w="1136" w:type="dxa"/>
            <w:shd w:val="clear" w:color="auto" w:fill="B5C0D8"/>
          </w:tcPr>
          <w:p w14:paraId="6B7131A1" w14:textId="77777777" w:rsidR="00CC568C" w:rsidRDefault="00CC568C" w:rsidP="00612FC3">
            <w:pPr>
              <w:pStyle w:val="CellHeader"/>
              <w:jc w:val="center"/>
            </w:pPr>
          </w:p>
        </w:tc>
        <w:tc>
          <w:tcPr>
            <w:tcW w:w="1843" w:type="dxa"/>
            <w:shd w:val="clear" w:color="auto" w:fill="B5C0D8"/>
          </w:tcPr>
          <w:p w14:paraId="7089EF56" w14:textId="48D08C85" w:rsidR="00CC568C" w:rsidRDefault="002D5A89" w:rsidP="00F31AEB">
            <w:pPr>
              <w:pStyle w:val="CellHeader"/>
              <w:jc w:val="center"/>
            </w:pPr>
            <w:r>
              <w:rPr>
                <w:rFonts w:cs="Times New Roman"/>
              </w:rPr>
              <w:t>Izvršenje 202</w:t>
            </w:r>
            <w:r w:rsidR="00AA420B">
              <w:rPr>
                <w:rFonts w:cs="Times New Roman"/>
              </w:rPr>
              <w:t>4</w:t>
            </w:r>
            <w:r w:rsidR="00CC568C">
              <w:rPr>
                <w:rFonts w:cs="Times New Roman"/>
              </w:rPr>
              <w:t>.</w:t>
            </w:r>
          </w:p>
        </w:tc>
        <w:tc>
          <w:tcPr>
            <w:tcW w:w="1836" w:type="dxa"/>
            <w:shd w:val="clear" w:color="auto" w:fill="B5C0D8"/>
          </w:tcPr>
          <w:p w14:paraId="2643C8FB" w14:textId="6B0D40F8" w:rsidR="000F24C5" w:rsidRDefault="000F24C5" w:rsidP="000F24C5">
            <w:pPr>
              <w:pStyle w:val="CellHeader"/>
              <w:jc w:val="center"/>
              <w:rPr>
                <w:rFonts w:cs="Times New Roman"/>
              </w:rPr>
            </w:pPr>
            <w:r>
              <w:rPr>
                <w:rFonts w:cs="Times New Roman"/>
              </w:rPr>
              <w:t>Plan 202</w:t>
            </w:r>
            <w:r w:rsidR="00AA420B">
              <w:rPr>
                <w:rFonts w:cs="Times New Roman"/>
              </w:rPr>
              <w:t>5</w:t>
            </w:r>
          </w:p>
          <w:p w14:paraId="4CBAD363" w14:textId="6F22D49F" w:rsidR="00CC568C" w:rsidRDefault="00CC568C" w:rsidP="00612FC3">
            <w:pPr>
              <w:pStyle w:val="CellHeader"/>
              <w:jc w:val="center"/>
            </w:pPr>
          </w:p>
        </w:tc>
        <w:tc>
          <w:tcPr>
            <w:tcW w:w="1708" w:type="dxa"/>
            <w:shd w:val="clear" w:color="auto" w:fill="B5C0D8"/>
          </w:tcPr>
          <w:p w14:paraId="61EF60BB" w14:textId="77777777" w:rsidR="00FF60AC" w:rsidRDefault="00FF60AC" w:rsidP="00FF60AC">
            <w:pPr>
              <w:pStyle w:val="CellHeader"/>
              <w:jc w:val="center"/>
              <w:rPr>
                <w:rFonts w:cs="Times New Roman"/>
              </w:rPr>
            </w:pPr>
            <w:r>
              <w:rPr>
                <w:rFonts w:cs="Times New Roman"/>
              </w:rPr>
              <w:t>Tekući plan</w:t>
            </w:r>
          </w:p>
          <w:p w14:paraId="07E64F47" w14:textId="0032859B" w:rsidR="00CC568C" w:rsidRDefault="00FF60AC" w:rsidP="00FF60AC">
            <w:pPr>
              <w:pStyle w:val="CellHeader"/>
              <w:jc w:val="center"/>
              <w:rPr>
                <w:rFonts w:cs="Times New Roman"/>
              </w:rPr>
            </w:pPr>
            <w:r>
              <w:rPr>
                <w:rFonts w:cs="Times New Roman"/>
              </w:rPr>
              <w:t>202</w:t>
            </w:r>
            <w:r w:rsidR="00AA420B">
              <w:rPr>
                <w:rFonts w:cs="Times New Roman"/>
              </w:rPr>
              <w:t>5</w:t>
            </w:r>
          </w:p>
        </w:tc>
        <w:tc>
          <w:tcPr>
            <w:tcW w:w="1701" w:type="dxa"/>
            <w:shd w:val="clear" w:color="auto" w:fill="B5C0D8"/>
          </w:tcPr>
          <w:p w14:paraId="0372A4E3" w14:textId="798C8A59" w:rsidR="00FF60AC" w:rsidRDefault="00FF60AC" w:rsidP="00FF60AC">
            <w:pPr>
              <w:pStyle w:val="CellHeader"/>
              <w:jc w:val="center"/>
              <w:rPr>
                <w:rFonts w:cs="Times New Roman"/>
              </w:rPr>
            </w:pPr>
            <w:r>
              <w:rPr>
                <w:rFonts w:cs="Times New Roman"/>
              </w:rPr>
              <w:t>Izvršenje 202</w:t>
            </w:r>
            <w:r w:rsidR="00AA420B">
              <w:rPr>
                <w:rFonts w:cs="Times New Roman"/>
              </w:rPr>
              <w:t>5</w:t>
            </w:r>
            <w:r>
              <w:rPr>
                <w:rFonts w:cs="Times New Roman"/>
              </w:rPr>
              <w:t>.</w:t>
            </w:r>
          </w:p>
          <w:p w14:paraId="4D660847" w14:textId="77777777" w:rsidR="00CC568C" w:rsidRDefault="00CC568C" w:rsidP="00FF60AC">
            <w:pPr>
              <w:pStyle w:val="CellHeader"/>
              <w:jc w:val="center"/>
              <w:rPr>
                <w:rFonts w:cs="Times New Roman"/>
              </w:rPr>
            </w:pPr>
          </w:p>
        </w:tc>
        <w:tc>
          <w:tcPr>
            <w:tcW w:w="1127" w:type="dxa"/>
            <w:shd w:val="clear" w:color="auto" w:fill="B5C0D8"/>
          </w:tcPr>
          <w:p w14:paraId="729440CB" w14:textId="624F22E9" w:rsidR="00FF60AC" w:rsidRDefault="00FF60AC" w:rsidP="00FF60AC">
            <w:pPr>
              <w:pStyle w:val="CellHeader"/>
              <w:jc w:val="center"/>
              <w:rPr>
                <w:rFonts w:cs="Times New Roman"/>
              </w:rPr>
            </w:pPr>
            <w:r>
              <w:rPr>
                <w:rFonts w:cs="Times New Roman"/>
              </w:rPr>
              <w:t>Indeks izvršenja 202</w:t>
            </w:r>
            <w:r w:rsidR="00AA420B">
              <w:rPr>
                <w:rFonts w:cs="Times New Roman"/>
              </w:rPr>
              <w:t>5</w:t>
            </w:r>
            <w:r>
              <w:rPr>
                <w:rFonts w:cs="Times New Roman"/>
              </w:rPr>
              <w:t>/plan 202</w:t>
            </w:r>
            <w:r w:rsidR="00AA420B">
              <w:rPr>
                <w:rFonts w:cs="Times New Roman"/>
              </w:rPr>
              <w:t>5</w:t>
            </w:r>
          </w:p>
          <w:p w14:paraId="0ABBC932" w14:textId="77777777" w:rsidR="00CC568C" w:rsidRDefault="00CC568C" w:rsidP="00FF60AC">
            <w:pPr>
              <w:pStyle w:val="CellHeader"/>
              <w:jc w:val="center"/>
              <w:rPr>
                <w:rFonts w:cs="Times New Roman"/>
              </w:rPr>
            </w:pPr>
          </w:p>
        </w:tc>
        <w:tc>
          <w:tcPr>
            <w:tcW w:w="856" w:type="dxa"/>
            <w:shd w:val="clear" w:color="auto" w:fill="B5C0D8"/>
          </w:tcPr>
          <w:p w14:paraId="61223C7C" w14:textId="06B059D2" w:rsidR="00CC568C" w:rsidRDefault="00FF60AC" w:rsidP="00D54855">
            <w:pPr>
              <w:pStyle w:val="CellHeader"/>
              <w:jc w:val="center"/>
            </w:pPr>
            <w:r>
              <w:rPr>
                <w:rFonts w:cs="Times New Roman"/>
              </w:rPr>
              <w:t>Indeks 202</w:t>
            </w:r>
            <w:r w:rsidR="00AA420B">
              <w:rPr>
                <w:rFonts w:cs="Times New Roman"/>
              </w:rPr>
              <w:t>5</w:t>
            </w:r>
            <w:r>
              <w:rPr>
                <w:rFonts w:cs="Times New Roman"/>
              </w:rPr>
              <w:t>/202</w:t>
            </w:r>
            <w:r w:rsidR="00AA420B">
              <w:rPr>
                <w:rFonts w:cs="Times New Roman"/>
              </w:rPr>
              <w:t>4</w:t>
            </w:r>
          </w:p>
        </w:tc>
      </w:tr>
      <w:tr w:rsidR="00CC568C" w14:paraId="74C3B2E5" w14:textId="77777777" w:rsidTr="00FF60AC">
        <w:trPr>
          <w:jc w:val="center"/>
        </w:trPr>
        <w:tc>
          <w:tcPr>
            <w:tcW w:w="1136" w:type="dxa"/>
          </w:tcPr>
          <w:p w14:paraId="6DD8CB1C" w14:textId="5EFACB15" w:rsidR="00CC568C" w:rsidRDefault="00CC568C" w:rsidP="00612FC3">
            <w:pPr>
              <w:pStyle w:val="CellColumn"/>
              <w:jc w:val="left"/>
            </w:pPr>
            <w:r>
              <w:t>2812</w:t>
            </w:r>
          </w:p>
        </w:tc>
        <w:tc>
          <w:tcPr>
            <w:tcW w:w="1843" w:type="dxa"/>
          </w:tcPr>
          <w:p w14:paraId="30F4DCB2" w14:textId="465D0813" w:rsidR="00CC568C" w:rsidRDefault="00AA420B" w:rsidP="00612FC3">
            <w:pPr>
              <w:jc w:val="center"/>
            </w:pPr>
            <w:r>
              <w:t>9.495.341,81</w:t>
            </w:r>
          </w:p>
        </w:tc>
        <w:tc>
          <w:tcPr>
            <w:tcW w:w="1836" w:type="dxa"/>
          </w:tcPr>
          <w:p w14:paraId="3CC36551" w14:textId="29B743D9" w:rsidR="00CC568C" w:rsidRDefault="00E66BAD" w:rsidP="00612FC3">
            <w:pPr>
              <w:jc w:val="center"/>
            </w:pPr>
            <w:r>
              <w:t>14.166.780,00</w:t>
            </w:r>
          </w:p>
        </w:tc>
        <w:tc>
          <w:tcPr>
            <w:tcW w:w="1708" w:type="dxa"/>
          </w:tcPr>
          <w:p w14:paraId="2F12A74C" w14:textId="63F718D8" w:rsidR="00CC568C" w:rsidRDefault="00E66BAD" w:rsidP="00612FC3">
            <w:pPr>
              <w:jc w:val="center"/>
            </w:pPr>
            <w:r>
              <w:t>11.914.853,00</w:t>
            </w:r>
          </w:p>
        </w:tc>
        <w:tc>
          <w:tcPr>
            <w:tcW w:w="1701" w:type="dxa"/>
          </w:tcPr>
          <w:p w14:paraId="79A8E466" w14:textId="18C23185" w:rsidR="00CC568C" w:rsidRDefault="00E66BAD" w:rsidP="00612FC3">
            <w:pPr>
              <w:jc w:val="center"/>
            </w:pPr>
            <w:r>
              <w:t>11.212.730,06</w:t>
            </w:r>
          </w:p>
        </w:tc>
        <w:tc>
          <w:tcPr>
            <w:tcW w:w="1127" w:type="dxa"/>
          </w:tcPr>
          <w:p w14:paraId="5F4F1C6E" w14:textId="00B344B2" w:rsidR="00CC568C" w:rsidRDefault="00E66BAD" w:rsidP="00612FC3">
            <w:pPr>
              <w:jc w:val="center"/>
            </w:pPr>
            <w:r>
              <w:t>94,10</w:t>
            </w:r>
          </w:p>
        </w:tc>
        <w:tc>
          <w:tcPr>
            <w:tcW w:w="856" w:type="dxa"/>
          </w:tcPr>
          <w:p w14:paraId="7902A011" w14:textId="5F9F9485" w:rsidR="00CC568C" w:rsidRDefault="00E66BAD" w:rsidP="00612FC3">
            <w:pPr>
              <w:jc w:val="center"/>
            </w:pPr>
            <w:r>
              <w:t>118,10</w:t>
            </w:r>
          </w:p>
        </w:tc>
      </w:tr>
    </w:tbl>
    <w:p w14:paraId="71182645" w14:textId="46812844" w:rsidR="00CC568C" w:rsidRDefault="00CC568C">
      <w:pPr>
        <w:jc w:val="left"/>
      </w:pPr>
    </w:p>
    <w:p w14:paraId="63F294A3" w14:textId="77777777" w:rsidR="00CC568C" w:rsidRDefault="00CC568C">
      <w:pPr>
        <w:jc w:val="left"/>
      </w:pPr>
    </w:p>
    <w:p w14:paraId="4A690F21" w14:textId="28BA1A72" w:rsidR="00B924BC" w:rsidRPr="00247427" w:rsidRDefault="00247427">
      <w:pPr>
        <w:jc w:val="left"/>
        <w:rPr>
          <w:b/>
        </w:rPr>
      </w:pPr>
      <w:r w:rsidRPr="00247427">
        <w:rPr>
          <w:b/>
        </w:rPr>
        <w:t>Cilj 1. Jačanje učinkovitosti pravosuđa</w:t>
      </w:r>
    </w:p>
    <w:p w14:paraId="3B763324" w14:textId="13062BFD" w:rsidR="00B924BC" w:rsidRDefault="003142ED">
      <w:pPr>
        <w:pStyle w:val="Naslov4"/>
      </w:pPr>
      <w:r>
        <w:t>A629262 SURADNJA REPUBLIKE HRVATSKE I EUROJUST-A</w:t>
      </w:r>
    </w:p>
    <w:p w14:paraId="59A1A836" w14:textId="3ABE20EB" w:rsidR="00B924BC" w:rsidRPr="000C5204" w:rsidRDefault="00B924BC">
      <w:pPr>
        <w:rPr>
          <w:sz w:val="24"/>
          <w:szCs w:val="24"/>
        </w:rPr>
      </w:pPr>
    </w:p>
    <w:tbl>
      <w:tblPr>
        <w:tblStyle w:val="StilTablice"/>
        <w:tblW w:w="10343" w:type="dxa"/>
        <w:jc w:val="center"/>
        <w:tblLook w:val="04A0" w:firstRow="1" w:lastRow="0" w:firstColumn="1" w:lastColumn="0" w:noHBand="0" w:noVBand="1"/>
      </w:tblPr>
      <w:tblGrid>
        <w:gridCol w:w="1200"/>
        <w:gridCol w:w="1830"/>
        <w:gridCol w:w="1832"/>
        <w:gridCol w:w="1690"/>
        <w:gridCol w:w="1690"/>
        <w:gridCol w:w="1131"/>
        <w:gridCol w:w="970"/>
      </w:tblGrid>
      <w:tr w:rsidR="00FF60AC" w14:paraId="637EAD29" w14:textId="77777777" w:rsidTr="00FF60AC">
        <w:trPr>
          <w:jc w:val="center"/>
        </w:trPr>
        <w:tc>
          <w:tcPr>
            <w:tcW w:w="1204" w:type="dxa"/>
            <w:shd w:val="clear" w:color="auto" w:fill="B5C0D8"/>
          </w:tcPr>
          <w:p w14:paraId="29BF09DE" w14:textId="77777777" w:rsidR="00AF6274" w:rsidRDefault="00AF6274" w:rsidP="000F24C5">
            <w:pPr>
              <w:pStyle w:val="CellHeader"/>
              <w:jc w:val="center"/>
            </w:pPr>
            <w:r>
              <w:rPr>
                <w:rFonts w:cs="Times New Roman"/>
              </w:rPr>
              <w:t>Naziv aktivnosti</w:t>
            </w:r>
          </w:p>
        </w:tc>
        <w:tc>
          <w:tcPr>
            <w:tcW w:w="1843" w:type="dxa"/>
            <w:shd w:val="clear" w:color="auto" w:fill="B5C0D8"/>
          </w:tcPr>
          <w:p w14:paraId="20EA52DB" w14:textId="606694D4" w:rsidR="00AF6274" w:rsidRDefault="00AF6274" w:rsidP="000F24C5">
            <w:pPr>
              <w:pStyle w:val="CellHeader"/>
              <w:jc w:val="center"/>
            </w:pPr>
            <w:r>
              <w:rPr>
                <w:rFonts w:cs="Times New Roman"/>
              </w:rPr>
              <w:t>Izvršenje 202</w:t>
            </w:r>
            <w:r w:rsidR="00AA420B">
              <w:rPr>
                <w:rFonts w:cs="Times New Roman"/>
              </w:rPr>
              <w:t>4</w:t>
            </w:r>
            <w:r>
              <w:rPr>
                <w:rFonts w:cs="Times New Roman"/>
              </w:rPr>
              <w:t>.</w:t>
            </w:r>
          </w:p>
        </w:tc>
        <w:tc>
          <w:tcPr>
            <w:tcW w:w="1843" w:type="dxa"/>
            <w:shd w:val="clear" w:color="auto" w:fill="B5C0D8"/>
          </w:tcPr>
          <w:p w14:paraId="587960CB" w14:textId="74F816F2" w:rsidR="00AF6274" w:rsidRDefault="00D54855" w:rsidP="000F24C5">
            <w:pPr>
              <w:pStyle w:val="CellHeader"/>
              <w:jc w:val="center"/>
            </w:pPr>
            <w:r>
              <w:rPr>
                <w:rFonts w:cs="Times New Roman"/>
              </w:rPr>
              <w:t>Plan 202</w:t>
            </w:r>
            <w:r w:rsidR="00AA420B">
              <w:rPr>
                <w:rFonts w:cs="Times New Roman"/>
              </w:rPr>
              <w:t>5</w:t>
            </w:r>
            <w:r w:rsidR="00AF6274">
              <w:rPr>
                <w:rFonts w:cs="Times New Roman"/>
              </w:rPr>
              <w:t>.</w:t>
            </w:r>
          </w:p>
        </w:tc>
        <w:tc>
          <w:tcPr>
            <w:tcW w:w="1701" w:type="dxa"/>
            <w:shd w:val="clear" w:color="auto" w:fill="B5C0D8"/>
          </w:tcPr>
          <w:p w14:paraId="7275AB52" w14:textId="77777777" w:rsidR="000F24C5" w:rsidRDefault="000F24C5" w:rsidP="000F24C5">
            <w:pPr>
              <w:pStyle w:val="CellHeader"/>
              <w:jc w:val="center"/>
              <w:rPr>
                <w:rFonts w:cs="Times New Roman"/>
              </w:rPr>
            </w:pPr>
            <w:r>
              <w:rPr>
                <w:rFonts w:cs="Times New Roman"/>
              </w:rPr>
              <w:t>Tekući plan</w:t>
            </w:r>
          </w:p>
          <w:p w14:paraId="48E60C67" w14:textId="6A2F05A8" w:rsidR="00AF6274" w:rsidRDefault="000F24C5" w:rsidP="000F24C5">
            <w:pPr>
              <w:pStyle w:val="CellHeader"/>
              <w:jc w:val="center"/>
              <w:rPr>
                <w:rFonts w:cs="Times New Roman"/>
              </w:rPr>
            </w:pPr>
            <w:r>
              <w:rPr>
                <w:rFonts w:cs="Times New Roman"/>
              </w:rPr>
              <w:t>202</w:t>
            </w:r>
            <w:r w:rsidR="00AA420B">
              <w:rPr>
                <w:rFonts w:cs="Times New Roman"/>
              </w:rPr>
              <w:t>5.</w:t>
            </w:r>
          </w:p>
        </w:tc>
        <w:tc>
          <w:tcPr>
            <w:tcW w:w="1701" w:type="dxa"/>
            <w:shd w:val="clear" w:color="auto" w:fill="B5C0D8"/>
          </w:tcPr>
          <w:p w14:paraId="7917F166" w14:textId="3AAD86BD" w:rsidR="00FF60AC" w:rsidRDefault="00FF60AC" w:rsidP="000F24C5">
            <w:pPr>
              <w:pStyle w:val="CellHeader"/>
              <w:jc w:val="center"/>
              <w:rPr>
                <w:rFonts w:cs="Times New Roman"/>
              </w:rPr>
            </w:pPr>
            <w:r>
              <w:rPr>
                <w:rFonts w:cs="Times New Roman"/>
              </w:rPr>
              <w:t>Izvršenje 202</w:t>
            </w:r>
            <w:r w:rsidR="00AA420B">
              <w:rPr>
                <w:rFonts w:cs="Times New Roman"/>
              </w:rPr>
              <w:t>5.</w:t>
            </w:r>
          </w:p>
          <w:p w14:paraId="3768398F" w14:textId="77777777" w:rsidR="00AF6274" w:rsidRDefault="00AF6274" w:rsidP="000F24C5">
            <w:pPr>
              <w:pStyle w:val="CellHeader"/>
              <w:jc w:val="center"/>
              <w:rPr>
                <w:rFonts w:cs="Times New Roman"/>
              </w:rPr>
            </w:pPr>
          </w:p>
        </w:tc>
        <w:tc>
          <w:tcPr>
            <w:tcW w:w="1134" w:type="dxa"/>
            <w:shd w:val="clear" w:color="auto" w:fill="B5C0D8"/>
          </w:tcPr>
          <w:p w14:paraId="471FF1B8" w14:textId="194FED2E" w:rsidR="00FF60AC" w:rsidRDefault="00FF60AC" w:rsidP="000F24C5">
            <w:pPr>
              <w:pStyle w:val="CellHeader"/>
              <w:jc w:val="center"/>
              <w:rPr>
                <w:rFonts w:cs="Times New Roman"/>
              </w:rPr>
            </w:pPr>
            <w:r>
              <w:rPr>
                <w:rFonts w:cs="Times New Roman"/>
              </w:rPr>
              <w:t>Indeks izvršenja 202</w:t>
            </w:r>
            <w:r w:rsidR="00AA420B">
              <w:rPr>
                <w:rFonts w:cs="Times New Roman"/>
              </w:rPr>
              <w:t>5</w:t>
            </w:r>
            <w:r>
              <w:rPr>
                <w:rFonts w:cs="Times New Roman"/>
              </w:rPr>
              <w:t>/plan 202</w:t>
            </w:r>
            <w:r w:rsidR="00AA420B">
              <w:rPr>
                <w:rFonts w:cs="Times New Roman"/>
              </w:rPr>
              <w:t>5</w:t>
            </w:r>
          </w:p>
          <w:p w14:paraId="405CD37A" w14:textId="77777777" w:rsidR="00AF6274" w:rsidRDefault="00AF6274" w:rsidP="000F24C5">
            <w:pPr>
              <w:pStyle w:val="CellHeader"/>
              <w:jc w:val="center"/>
              <w:rPr>
                <w:rFonts w:cs="Times New Roman"/>
              </w:rPr>
            </w:pPr>
          </w:p>
        </w:tc>
        <w:tc>
          <w:tcPr>
            <w:tcW w:w="917" w:type="dxa"/>
            <w:shd w:val="clear" w:color="auto" w:fill="B5C0D8"/>
          </w:tcPr>
          <w:p w14:paraId="0AB1D680" w14:textId="39C0203D" w:rsidR="00AF6274" w:rsidRDefault="00FF60AC" w:rsidP="000F24C5">
            <w:pPr>
              <w:pStyle w:val="CellHeader"/>
              <w:jc w:val="center"/>
            </w:pPr>
            <w:r>
              <w:rPr>
                <w:rFonts w:cs="Times New Roman"/>
              </w:rPr>
              <w:t>Indeks 202</w:t>
            </w:r>
            <w:r w:rsidR="00AA420B">
              <w:rPr>
                <w:rFonts w:cs="Times New Roman"/>
              </w:rPr>
              <w:t>5</w:t>
            </w:r>
            <w:r>
              <w:rPr>
                <w:rFonts w:cs="Times New Roman"/>
              </w:rPr>
              <w:t>/202</w:t>
            </w:r>
            <w:r w:rsidR="00AA420B">
              <w:rPr>
                <w:rFonts w:cs="Times New Roman"/>
              </w:rPr>
              <w:t>4</w:t>
            </w:r>
          </w:p>
        </w:tc>
      </w:tr>
      <w:tr w:rsidR="00AF6274" w14:paraId="7B732CF0" w14:textId="77777777" w:rsidTr="00FF60AC">
        <w:trPr>
          <w:jc w:val="center"/>
        </w:trPr>
        <w:tc>
          <w:tcPr>
            <w:tcW w:w="1204" w:type="dxa"/>
            <w:vAlign w:val="top"/>
          </w:tcPr>
          <w:p w14:paraId="0DC5F4BC" w14:textId="71F59CD3" w:rsidR="00AF6274" w:rsidRDefault="00AF6274" w:rsidP="00AD6B5D">
            <w:pPr>
              <w:pStyle w:val="CellColumn"/>
              <w:jc w:val="left"/>
            </w:pPr>
            <w:r>
              <w:rPr>
                <w:rFonts w:cs="Times New Roman"/>
              </w:rPr>
              <w:t>A629262</w:t>
            </w:r>
          </w:p>
        </w:tc>
        <w:tc>
          <w:tcPr>
            <w:tcW w:w="1843" w:type="dxa"/>
            <w:vAlign w:val="top"/>
          </w:tcPr>
          <w:p w14:paraId="7E4A86EB" w14:textId="51A996C3" w:rsidR="00AF6274" w:rsidRDefault="00AA420B" w:rsidP="00AD6B5D">
            <w:pPr>
              <w:jc w:val="center"/>
            </w:pPr>
            <w:r>
              <w:t>46.720,34</w:t>
            </w:r>
          </w:p>
        </w:tc>
        <w:tc>
          <w:tcPr>
            <w:tcW w:w="1843" w:type="dxa"/>
            <w:vAlign w:val="top"/>
          </w:tcPr>
          <w:p w14:paraId="0C26CF2C" w14:textId="478711E3" w:rsidR="00AF6274" w:rsidRDefault="00E66BAD" w:rsidP="00AD6B5D">
            <w:pPr>
              <w:jc w:val="center"/>
            </w:pPr>
            <w:r>
              <w:t>135.100,00</w:t>
            </w:r>
          </w:p>
        </w:tc>
        <w:tc>
          <w:tcPr>
            <w:tcW w:w="1701" w:type="dxa"/>
          </w:tcPr>
          <w:p w14:paraId="2CC8DC82" w14:textId="726CB93B" w:rsidR="00AF6274" w:rsidRDefault="00E66BAD" w:rsidP="00AD6B5D">
            <w:pPr>
              <w:jc w:val="center"/>
            </w:pPr>
            <w:r>
              <w:t>46.545,00</w:t>
            </w:r>
          </w:p>
        </w:tc>
        <w:tc>
          <w:tcPr>
            <w:tcW w:w="1701" w:type="dxa"/>
          </w:tcPr>
          <w:p w14:paraId="06326D25" w14:textId="4E53E5C9" w:rsidR="00AF6274" w:rsidRDefault="00E66BAD" w:rsidP="00AD6B5D">
            <w:pPr>
              <w:jc w:val="center"/>
            </w:pPr>
            <w:r>
              <w:t>46.180,12</w:t>
            </w:r>
          </w:p>
        </w:tc>
        <w:tc>
          <w:tcPr>
            <w:tcW w:w="1134" w:type="dxa"/>
          </w:tcPr>
          <w:p w14:paraId="0FE394EB" w14:textId="7E414598" w:rsidR="00AF6274" w:rsidRDefault="000357EB" w:rsidP="00AD6B5D">
            <w:pPr>
              <w:jc w:val="center"/>
            </w:pPr>
            <w:r>
              <w:t>99,2</w:t>
            </w:r>
          </w:p>
        </w:tc>
        <w:tc>
          <w:tcPr>
            <w:tcW w:w="917" w:type="dxa"/>
            <w:vAlign w:val="top"/>
          </w:tcPr>
          <w:p w14:paraId="38785575" w14:textId="1AF9CF1D" w:rsidR="00AF6274" w:rsidRDefault="000357EB" w:rsidP="00AD6B5D">
            <w:pPr>
              <w:jc w:val="center"/>
            </w:pPr>
            <w:r>
              <w:t>98,8</w:t>
            </w:r>
          </w:p>
        </w:tc>
      </w:tr>
    </w:tbl>
    <w:p w14:paraId="0C8FDF50" w14:textId="1B33AA18" w:rsidR="00B924BC" w:rsidRDefault="00B924BC">
      <w:pPr>
        <w:jc w:val="left"/>
      </w:pPr>
    </w:p>
    <w:p w14:paraId="28112653" w14:textId="0217C564" w:rsidR="009E250D" w:rsidRPr="009E250D" w:rsidRDefault="009E250D">
      <w:pPr>
        <w:jc w:val="left"/>
        <w:rPr>
          <w:b/>
        </w:rPr>
      </w:pPr>
      <w:r w:rsidRPr="009E250D">
        <w:rPr>
          <w:b/>
        </w:rPr>
        <w:t>IZVOR 11</w:t>
      </w:r>
    </w:p>
    <w:p w14:paraId="3BD70B65" w14:textId="6E2437B5" w:rsidR="00B924BC" w:rsidRDefault="00247427">
      <w:pPr>
        <w:jc w:val="left"/>
        <w:rPr>
          <w:sz w:val="24"/>
          <w:szCs w:val="24"/>
        </w:rPr>
      </w:pPr>
      <w:r w:rsidRPr="009B0F88">
        <w:lastRenderedPageBreak/>
        <w:t xml:space="preserve">Ovom aktivnosti se financira rad Ureda sa sjedištem u Den Haagu i sudjelovanja u aktivnostima European Judicial Network-a. Najveći dio sredstava </w:t>
      </w:r>
      <w:r w:rsidR="00733408" w:rsidRPr="009B0F88">
        <w:t>utrošen</w:t>
      </w:r>
      <w:r w:rsidRPr="009B0F88">
        <w:t xml:space="preserve"> je za podmirenje najamnina za stanovanje predstavnika Republike Hrvatske u EUROJUST-u u Haagu, usluge telefona, podmirenje godišnje komunalne naknade za stan koji koristi  predstavnik RH u EUROJUST-u, podmirenje troškova službenih putovanja spomenutog predstavnika te usluge prijevoda i nabavke uredskog materijala.</w:t>
      </w:r>
      <w:r w:rsidRPr="009B0F88">
        <w:rPr>
          <w:sz w:val="24"/>
          <w:szCs w:val="24"/>
        </w:rPr>
        <w:t xml:space="preserve"> </w:t>
      </w:r>
      <w:r w:rsidR="009B0F88">
        <w:rPr>
          <w:sz w:val="24"/>
          <w:szCs w:val="24"/>
        </w:rPr>
        <w:t>Obzirom se očekuje još jedan predstavnik u planu je više sredstava, a obzirom imenovanje još jedne osobe nije provedeno ostalo je sredstava za povrat putem rebalansa.</w:t>
      </w:r>
    </w:p>
    <w:p w14:paraId="31BD0703" w14:textId="77777777" w:rsidR="00247427" w:rsidRDefault="00247427">
      <w:pPr>
        <w:jc w:val="left"/>
      </w:pPr>
    </w:p>
    <w:p w14:paraId="43DCE9EC" w14:textId="4B006F96" w:rsidR="00B924BC" w:rsidRDefault="003142ED">
      <w:pPr>
        <w:pStyle w:val="Naslov4"/>
      </w:pPr>
      <w:r>
        <w:t>A634000 PROGON POČINITELJA KAZNENIH DJELA, ZAŠTITE IMOVINE RH I PODNOŠENJE PRAVNIH SREDSTAVA ZA ZAŠTITU ZAKONITOSTI</w:t>
      </w:r>
    </w:p>
    <w:p w14:paraId="054D17AF" w14:textId="77777777" w:rsidR="00247427" w:rsidRPr="002D5A89" w:rsidRDefault="00247427">
      <w:pPr>
        <w:rPr>
          <w:b/>
        </w:rPr>
      </w:pPr>
      <w:r w:rsidRPr="002D5A89">
        <w:rPr>
          <w:b/>
        </w:rPr>
        <w:t>Zakonske i druge pravne osnove</w:t>
      </w:r>
    </w:p>
    <w:p w14:paraId="780AC59A" w14:textId="079736D6" w:rsidR="00B924BC" w:rsidRDefault="00247427">
      <w:r w:rsidRPr="002D5A89">
        <w:t>Zakon o državnom odvjetništvu, Zakon o Uredu za suzbijanje korupcije i organiziranog kriminaliteta, Zakon o područjima i sjedištima državnih odvjetništava</w:t>
      </w:r>
      <w:r>
        <w:t>.</w:t>
      </w:r>
    </w:p>
    <w:tbl>
      <w:tblPr>
        <w:tblStyle w:val="StilTablice"/>
        <w:tblW w:w="10201" w:type="dxa"/>
        <w:jc w:val="center"/>
        <w:tblLook w:val="04A0" w:firstRow="1" w:lastRow="0" w:firstColumn="1" w:lastColumn="0" w:noHBand="0" w:noVBand="1"/>
      </w:tblPr>
      <w:tblGrid>
        <w:gridCol w:w="1369"/>
        <w:gridCol w:w="1632"/>
        <w:gridCol w:w="1814"/>
        <w:gridCol w:w="1417"/>
        <w:gridCol w:w="1418"/>
        <w:gridCol w:w="1581"/>
        <w:gridCol w:w="970"/>
      </w:tblGrid>
      <w:tr w:rsidR="005F1F27" w14:paraId="2F0D8EB3" w14:textId="77777777" w:rsidTr="005F1F27">
        <w:trPr>
          <w:jc w:val="center"/>
        </w:trPr>
        <w:tc>
          <w:tcPr>
            <w:tcW w:w="1369" w:type="dxa"/>
            <w:shd w:val="clear" w:color="auto" w:fill="B5C0D8"/>
          </w:tcPr>
          <w:p w14:paraId="504BAD04" w14:textId="77777777" w:rsidR="005F1F27" w:rsidRDefault="005F1F27" w:rsidP="000F24C5">
            <w:pPr>
              <w:pStyle w:val="CellHeader"/>
              <w:jc w:val="center"/>
            </w:pPr>
            <w:r>
              <w:rPr>
                <w:rFonts w:cs="Times New Roman"/>
              </w:rPr>
              <w:t>Naziv aktivnosti</w:t>
            </w:r>
          </w:p>
        </w:tc>
        <w:tc>
          <w:tcPr>
            <w:tcW w:w="1632" w:type="dxa"/>
            <w:shd w:val="clear" w:color="auto" w:fill="B5C0D8"/>
          </w:tcPr>
          <w:p w14:paraId="023946E7" w14:textId="0F56C649" w:rsidR="005F1F27" w:rsidRDefault="00CD0268" w:rsidP="000F24C5">
            <w:pPr>
              <w:pStyle w:val="CellHeader"/>
              <w:jc w:val="center"/>
            </w:pPr>
            <w:r>
              <w:rPr>
                <w:rFonts w:cs="Times New Roman"/>
              </w:rPr>
              <w:t>Izvršenje 202</w:t>
            </w:r>
            <w:r w:rsidR="00AA420B">
              <w:rPr>
                <w:rFonts w:cs="Times New Roman"/>
              </w:rPr>
              <w:t>4</w:t>
            </w:r>
            <w:r w:rsidR="005F1F27">
              <w:rPr>
                <w:rFonts w:cs="Times New Roman"/>
              </w:rPr>
              <w:t>.</w:t>
            </w:r>
          </w:p>
        </w:tc>
        <w:tc>
          <w:tcPr>
            <w:tcW w:w="1814" w:type="dxa"/>
            <w:shd w:val="clear" w:color="auto" w:fill="B5C0D8"/>
          </w:tcPr>
          <w:p w14:paraId="6A61B43A" w14:textId="494800F3" w:rsidR="005F1F27" w:rsidRDefault="00CD0268" w:rsidP="000F24C5">
            <w:pPr>
              <w:pStyle w:val="CellHeader"/>
              <w:jc w:val="center"/>
            </w:pPr>
            <w:r>
              <w:rPr>
                <w:rFonts w:cs="Times New Roman"/>
              </w:rPr>
              <w:t>Plan 202</w:t>
            </w:r>
            <w:r w:rsidR="00AA420B">
              <w:rPr>
                <w:rFonts w:cs="Times New Roman"/>
              </w:rPr>
              <w:t>5</w:t>
            </w:r>
            <w:r w:rsidR="005F1F27">
              <w:rPr>
                <w:rFonts w:cs="Times New Roman"/>
              </w:rPr>
              <w:t>.</w:t>
            </w:r>
          </w:p>
        </w:tc>
        <w:tc>
          <w:tcPr>
            <w:tcW w:w="1417" w:type="dxa"/>
            <w:shd w:val="clear" w:color="auto" w:fill="B5C0D8"/>
          </w:tcPr>
          <w:p w14:paraId="1127067D" w14:textId="77777777" w:rsidR="000F24C5" w:rsidRDefault="000F24C5" w:rsidP="000F24C5">
            <w:pPr>
              <w:pStyle w:val="CellHeader"/>
              <w:jc w:val="center"/>
              <w:rPr>
                <w:rFonts w:cs="Times New Roman"/>
              </w:rPr>
            </w:pPr>
            <w:r>
              <w:rPr>
                <w:rFonts w:cs="Times New Roman"/>
              </w:rPr>
              <w:t>Tekući plan</w:t>
            </w:r>
          </w:p>
          <w:p w14:paraId="65C3858F" w14:textId="7B9D1B54" w:rsidR="005F1F27" w:rsidRDefault="000F24C5" w:rsidP="000F24C5">
            <w:pPr>
              <w:pStyle w:val="CellHeader"/>
              <w:jc w:val="center"/>
              <w:rPr>
                <w:rFonts w:cs="Times New Roman"/>
              </w:rPr>
            </w:pPr>
            <w:r>
              <w:rPr>
                <w:rFonts w:cs="Times New Roman"/>
              </w:rPr>
              <w:t>202</w:t>
            </w:r>
            <w:r w:rsidR="00AA420B">
              <w:rPr>
                <w:rFonts w:cs="Times New Roman"/>
              </w:rPr>
              <w:t>5</w:t>
            </w:r>
          </w:p>
        </w:tc>
        <w:tc>
          <w:tcPr>
            <w:tcW w:w="1418" w:type="dxa"/>
            <w:shd w:val="clear" w:color="auto" w:fill="B5C0D8"/>
          </w:tcPr>
          <w:p w14:paraId="303E2DCF" w14:textId="6F65DC92" w:rsidR="000F24C5" w:rsidRDefault="000F24C5" w:rsidP="000F24C5">
            <w:pPr>
              <w:pStyle w:val="CellHeader"/>
              <w:jc w:val="center"/>
              <w:rPr>
                <w:rFonts w:cs="Times New Roman"/>
              </w:rPr>
            </w:pPr>
            <w:r>
              <w:rPr>
                <w:rFonts w:cs="Times New Roman"/>
              </w:rPr>
              <w:t>Izvršenje 202</w:t>
            </w:r>
            <w:r w:rsidR="00AA420B">
              <w:rPr>
                <w:rFonts w:cs="Times New Roman"/>
              </w:rPr>
              <w:t>5</w:t>
            </w:r>
            <w:r>
              <w:rPr>
                <w:rFonts w:cs="Times New Roman"/>
              </w:rPr>
              <w:t>.</w:t>
            </w:r>
          </w:p>
          <w:p w14:paraId="6F631813" w14:textId="77777777" w:rsidR="005F1F27" w:rsidRDefault="005F1F27" w:rsidP="000F24C5">
            <w:pPr>
              <w:pStyle w:val="CellHeader"/>
              <w:jc w:val="center"/>
              <w:rPr>
                <w:rFonts w:cs="Times New Roman"/>
              </w:rPr>
            </w:pPr>
          </w:p>
        </w:tc>
        <w:tc>
          <w:tcPr>
            <w:tcW w:w="1581" w:type="dxa"/>
            <w:shd w:val="clear" w:color="auto" w:fill="B5C0D8"/>
          </w:tcPr>
          <w:p w14:paraId="4FB25816" w14:textId="08579255" w:rsidR="00FF60AC" w:rsidRDefault="00FF60AC" w:rsidP="000F24C5">
            <w:pPr>
              <w:pStyle w:val="CellHeader"/>
              <w:jc w:val="center"/>
              <w:rPr>
                <w:rFonts w:cs="Times New Roman"/>
              </w:rPr>
            </w:pPr>
            <w:r>
              <w:rPr>
                <w:rFonts w:cs="Times New Roman"/>
              </w:rPr>
              <w:t>Indeks izvršenja 202</w:t>
            </w:r>
            <w:r w:rsidR="00AA420B">
              <w:rPr>
                <w:rFonts w:cs="Times New Roman"/>
              </w:rPr>
              <w:t>5</w:t>
            </w:r>
            <w:r>
              <w:rPr>
                <w:rFonts w:cs="Times New Roman"/>
              </w:rPr>
              <w:t>/plan 20</w:t>
            </w:r>
            <w:r w:rsidR="00AA420B">
              <w:rPr>
                <w:rFonts w:cs="Times New Roman"/>
              </w:rPr>
              <w:t>25</w:t>
            </w:r>
          </w:p>
          <w:p w14:paraId="6CEB1D86" w14:textId="77777777" w:rsidR="005F1F27" w:rsidRDefault="005F1F27" w:rsidP="000F24C5">
            <w:pPr>
              <w:pStyle w:val="CellHeader"/>
              <w:jc w:val="center"/>
              <w:rPr>
                <w:rFonts w:cs="Times New Roman"/>
              </w:rPr>
            </w:pPr>
          </w:p>
        </w:tc>
        <w:tc>
          <w:tcPr>
            <w:tcW w:w="970" w:type="dxa"/>
            <w:shd w:val="clear" w:color="auto" w:fill="B5C0D8"/>
          </w:tcPr>
          <w:p w14:paraId="4816D59C" w14:textId="1084E9A1" w:rsidR="005F1F27" w:rsidRDefault="00FF60AC" w:rsidP="000F24C5">
            <w:pPr>
              <w:pStyle w:val="CellHeader"/>
              <w:jc w:val="center"/>
            </w:pPr>
            <w:r>
              <w:rPr>
                <w:rFonts w:cs="Times New Roman"/>
              </w:rPr>
              <w:t>Indeks 202</w:t>
            </w:r>
            <w:r w:rsidR="00AA420B">
              <w:rPr>
                <w:rFonts w:cs="Times New Roman"/>
              </w:rPr>
              <w:t>5</w:t>
            </w:r>
            <w:r>
              <w:rPr>
                <w:rFonts w:cs="Times New Roman"/>
              </w:rPr>
              <w:t>/202</w:t>
            </w:r>
            <w:r w:rsidR="00AA420B">
              <w:rPr>
                <w:rFonts w:cs="Times New Roman"/>
              </w:rPr>
              <w:t>4</w:t>
            </w:r>
          </w:p>
        </w:tc>
      </w:tr>
      <w:tr w:rsidR="005F1F27" w14:paraId="284D9A62" w14:textId="77777777" w:rsidTr="005F1F27">
        <w:trPr>
          <w:jc w:val="center"/>
        </w:trPr>
        <w:tc>
          <w:tcPr>
            <w:tcW w:w="1369" w:type="dxa"/>
            <w:vAlign w:val="top"/>
          </w:tcPr>
          <w:p w14:paraId="36283861" w14:textId="6DAABCF4" w:rsidR="005F1F27" w:rsidRDefault="005F1F27">
            <w:pPr>
              <w:pStyle w:val="CellColumn"/>
              <w:jc w:val="left"/>
            </w:pPr>
            <w:r>
              <w:rPr>
                <w:rFonts w:cs="Times New Roman"/>
              </w:rPr>
              <w:t>A634000</w:t>
            </w:r>
          </w:p>
        </w:tc>
        <w:tc>
          <w:tcPr>
            <w:tcW w:w="1632" w:type="dxa"/>
            <w:vAlign w:val="top"/>
          </w:tcPr>
          <w:p w14:paraId="4007A26D" w14:textId="4A8DE71B" w:rsidR="005F1F27" w:rsidRDefault="00AA420B" w:rsidP="005F1F27">
            <w:pPr>
              <w:jc w:val="center"/>
            </w:pPr>
            <w:r>
              <w:t>3.886.823,50</w:t>
            </w:r>
          </w:p>
        </w:tc>
        <w:tc>
          <w:tcPr>
            <w:tcW w:w="1814" w:type="dxa"/>
            <w:vAlign w:val="top"/>
          </w:tcPr>
          <w:p w14:paraId="7FEF0A7B" w14:textId="4EB32238" w:rsidR="005F1F27" w:rsidRDefault="00E41213" w:rsidP="00182047">
            <w:pPr>
              <w:jc w:val="center"/>
            </w:pPr>
            <w:r>
              <w:t>4.399.880,00</w:t>
            </w:r>
          </w:p>
        </w:tc>
        <w:tc>
          <w:tcPr>
            <w:tcW w:w="1417" w:type="dxa"/>
          </w:tcPr>
          <w:p w14:paraId="0CE5151F" w14:textId="28B2F78A" w:rsidR="005F1F27" w:rsidRDefault="00E41213" w:rsidP="005F1F27">
            <w:pPr>
              <w:jc w:val="center"/>
            </w:pPr>
            <w:r>
              <w:t>4.649.878,00</w:t>
            </w:r>
          </w:p>
        </w:tc>
        <w:tc>
          <w:tcPr>
            <w:tcW w:w="1418" w:type="dxa"/>
          </w:tcPr>
          <w:p w14:paraId="4C586F8B" w14:textId="5A424021" w:rsidR="005F1F27" w:rsidRDefault="00E41213" w:rsidP="005F1F27">
            <w:pPr>
              <w:jc w:val="center"/>
            </w:pPr>
            <w:r>
              <w:t>4.563.355,13</w:t>
            </w:r>
          </w:p>
        </w:tc>
        <w:tc>
          <w:tcPr>
            <w:tcW w:w="1581" w:type="dxa"/>
          </w:tcPr>
          <w:p w14:paraId="1B393855" w14:textId="6452C701" w:rsidR="005F1F27" w:rsidRDefault="00E41213" w:rsidP="005F1F27">
            <w:pPr>
              <w:jc w:val="center"/>
            </w:pPr>
            <w:r>
              <w:t>98,10</w:t>
            </w:r>
          </w:p>
        </w:tc>
        <w:tc>
          <w:tcPr>
            <w:tcW w:w="970" w:type="dxa"/>
            <w:vAlign w:val="top"/>
          </w:tcPr>
          <w:p w14:paraId="0212DA4E" w14:textId="645051D5" w:rsidR="005F1F27" w:rsidRDefault="00E41213" w:rsidP="005F1F27">
            <w:pPr>
              <w:jc w:val="center"/>
            </w:pPr>
            <w:r>
              <w:t>117,40</w:t>
            </w:r>
          </w:p>
        </w:tc>
      </w:tr>
    </w:tbl>
    <w:p w14:paraId="44287659" w14:textId="2A5DEE74" w:rsidR="00B924BC" w:rsidRDefault="00B924BC">
      <w:pPr>
        <w:jc w:val="left"/>
      </w:pPr>
    </w:p>
    <w:p w14:paraId="5869E563" w14:textId="77777777" w:rsidR="003C04D1" w:rsidRDefault="006747F0" w:rsidP="003C04D1">
      <w:pPr>
        <w:jc w:val="left"/>
        <w:rPr>
          <w:b/>
        </w:rPr>
      </w:pPr>
      <w:r w:rsidRPr="006747F0">
        <w:rPr>
          <w:b/>
        </w:rPr>
        <w:t>IZVOR 11</w:t>
      </w:r>
    </w:p>
    <w:p w14:paraId="091EB68F" w14:textId="3A94C576" w:rsidR="00B924BC" w:rsidRPr="008E2AD6" w:rsidRDefault="006747F0" w:rsidP="003C04D1">
      <w:pPr>
        <w:jc w:val="left"/>
        <w:rPr>
          <w:b/>
        </w:rPr>
      </w:pPr>
      <w:r w:rsidRPr="008E2AD6">
        <w:rPr>
          <w:sz w:val="24"/>
          <w:szCs w:val="24"/>
        </w:rPr>
        <w:t xml:space="preserve">Plaće i doprinosi : </w:t>
      </w:r>
      <w:r w:rsidR="00092576" w:rsidRPr="008E2AD6">
        <w:rPr>
          <w:sz w:val="24"/>
          <w:szCs w:val="24"/>
        </w:rPr>
        <w:t xml:space="preserve">Povećanje iznosa </w:t>
      </w:r>
      <w:r w:rsidR="00101CEE" w:rsidRPr="008E2AD6">
        <w:rPr>
          <w:sz w:val="24"/>
          <w:szCs w:val="24"/>
        </w:rPr>
        <w:t xml:space="preserve">(utrošeno </w:t>
      </w:r>
      <w:r w:rsidR="002A0CD3">
        <w:rPr>
          <w:sz w:val="24"/>
          <w:szCs w:val="24"/>
        </w:rPr>
        <w:t>3.957.176,17</w:t>
      </w:r>
      <w:r w:rsidR="00101CEE" w:rsidRPr="008E2AD6">
        <w:rPr>
          <w:sz w:val="24"/>
          <w:szCs w:val="24"/>
        </w:rPr>
        <w:t xml:space="preserve"> eura) </w:t>
      </w:r>
      <w:r w:rsidR="00205A3D" w:rsidRPr="008E2AD6">
        <w:rPr>
          <w:sz w:val="24"/>
          <w:szCs w:val="24"/>
        </w:rPr>
        <w:t xml:space="preserve">za plaće, prekovremene i doprinose </w:t>
      </w:r>
      <w:r w:rsidR="00092576" w:rsidRPr="008E2AD6">
        <w:rPr>
          <w:sz w:val="24"/>
          <w:szCs w:val="24"/>
        </w:rPr>
        <w:t>u odnosu na 202</w:t>
      </w:r>
      <w:r w:rsidR="008E2AD6" w:rsidRPr="008E2AD6">
        <w:rPr>
          <w:sz w:val="24"/>
          <w:szCs w:val="24"/>
        </w:rPr>
        <w:t>4</w:t>
      </w:r>
      <w:r w:rsidR="00092576" w:rsidRPr="008E2AD6">
        <w:rPr>
          <w:sz w:val="24"/>
          <w:szCs w:val="24"/>
        </w:rPr>
        <w:t xml:space="preserve">. </w:t>
      </w:r>
      <w:r w:rsidR="00205A3D" w:rsidRPr="008E2AD6">
        <w:rPr>
          <w:sz w:val="24"/>
          <w:szCs w:val="24"/>
        </w:rPr>
        <w:t xml:space="preserve">se </w:t>
      </w:r>
      <w:r w:rsidR="002D5A89" w:rsidRPr="008E2AD6">
        <w:rPr>
          <w:sz w:val="24"/>
          <w:szCs w:val="24"/>
        </w:rPr>
        <w:t>te</w:t>
      </w:r>
      <w:r w:rsidR="00AB493C" w:rsidRPr="008E2AD6">
        <w:rPr>
          <w:sz w:val="24"/>
          <w:szCs w:val="24"/>
        </w:rPr>
        <w:t xml:space="preserve">melji na </w:t>
      </w:r>
      <w:r w:rsidR="00092576" w:rsidRPr="008E2AD6">
        <w:rPr>
          <w:sz w:val="24"/>
          <w:szCs w:val="24"/>
        </w:rPr>
        <w:t xml:space="preserve">povećanju </w:t>
      </w:r>
      <w:r w:rsidR="008E2AD6" w:rsidRPr="008E2AD6">
        <w:rPr>
          <w:sz w:val="24"/>
          <w:szCs w:val="24"/>
        </w:rPr>
        <w:t>osnovica</w:t>
      </w:r>
      <w:r w:rsidR="00092576" w:rsidRPr="008E2AD6">
        <w:rPr>
          <w:sz w:val="24"/>
          <w:szCs w:val="24"/>
        </w:rPr>
        <w:t xml:space="preserve"> za službenike te uvećanje osnovice za obračun </w:t>
      </w:r>
      <w:r w:rsidR="00092576" w:rsidRPr="002A0CD3">
        <w:rPr>
          <w:sz w:val="24"/>
          <w:szCs w:val="24"/>
        </w:rPr>
        <w:t>plaće</w:t>
      </w:r>
      <w:r w:rsidR="00092576" w:rsidRPr="008E2AD6">
        <w:rPr>
          <w:sz w:val="24"/>
          <w:szCs w:val="24"/>
        </w:rPr>
        <w:t xml:space="preserve"> dužnosnika</w:t>
      </w:r>
      <w:r w:rsidR="002D5A89" w:rsidRPr="008E2AD6">
        <w:rPr>
          <w:sz w:val="24"/>
          <w:szCs w:val="24"/>
        </w:rPr>
        <w:t>.</w:t>
      </w:r>
    </w:p>
    <w:p w14:paraId="0D500457" w14:textId="11ED7570" w:rsidR="00205A3D" w:rsidRPr="002A0CD3" w:rsidRDefault="006747F0">
      <w:pPr>
        <w:jc w:val="left"/>
        <w:rPr>
          <w:sz w:val="24"/>
          <w:szCs w:val="24"/>
        </w:rPr>
      </w:pPr>
      <w:r w:rsidRPr="002A0CD3">
        <w:rPr>
          <w:sz w:val="24"/>
          <w:szCs w:val="24"/>
        </w:rPr>
        <w:t xml:space="preserve">Ostale rashodi za  zaposlene: </w:t>
      </w:r>
      <w:r w:rsidR="00092576" w:rsidRPr="002A0CD3">
        <w:rPr>
          <w:sz w:val="24"/>
          <w:szCs w:val="24"/>
        </w:rPr>
        <w:t>Povećani su</w:t>
      </w:r>
      <w:r w:rsidR="00101CEE" w:rsidRPr="002A0CD3">
        <w:rPr>
          <w:sz w:val="24"/>
          <w:szCs w:val="24"/>
        </w:rPr>
        <w:t xml:space="preserve"> (utrošeno </w:t>
      </w:r>
      <w:r w:rsidR="002A0CD3" w:rsidRPr="002A0CD3">
        <w:rPr>
          <w:sz w:val="24"/>
          <w:szCs w:val="24"/>
        </w:rPr>
        <w:t>85.197,38</w:t>
      </w:r>
      <w:r w:rsidR="00101CEE" w:rsidRPr="002A0CD3">
        <w:rPr>
          <w:sz w:val="24"/>
          <w:szCs w:val="24"/>
        </w:rPr>
        <w:t>)</w:t>
      </w:r>
      <w:r w:rsidR="00092576" w:rsidRPr="002A0CD3">
        <w:rPr>
          <w:sz w:val="24"/>
          <w:szCs w:val="24"/>
        </w:rPr>
        <w:t xml:space="preserve"> obzirom na dodavanje prava za Uskrsnicu te prava duž</w:t>
      </w:r>
      <w:r w:rsidR="00101CEE" w:rsidRPr="002A0CD3">
        <w:rPr>
          <w:sz w:val="24"/>
          <w:szCs w:val="24"/>
        </w:rPr>
        <w:t>nosnicima za iplate Božićnica, Dara za djecu, R</w:t>
      </w:r>
      <w:r w:rsidR="00092576" w:rsidRPr="002A0CD3">
        <w:rPr>
          <w:sz w:val="24"/>
          <w:szCs w:val="24"/>
        </w:rPr>
        <w:t>egresa</w:t>
      </w:r>
      <w:r w:rsidR="002D5A89" w:rsidRPr="002A0CD3">
        <w:rPr>
          <w:sz w:val="24"/>
          <w:szCs w:val="24"/>
        </w:rPr>
        <w:t>.</w:t>
      </w:r>
    </w:p>
    <w:p w14:paraId="39AA4B5C" w14:textId="01793B3C" w:rsidR="00205A3D" w:rsidRPr="009425FD" w:rsidRDefault="006747F0">
      <w:pPr>
        <w:jc w:val="left"/>
        <w:rPr>
          <w:sz w:val="24"/>
          <w:szCs w:val="24"/>
        </w:rPr>
      </w:pPr>
      <w:r w:rsidRPr="009425FD">
        <w:rPr>
          <w:sz w:val="24"/>
          <w:szCs w:val="24"/>
        </w:rPr>
        <w:t xml:space="preserve">Naknade za prijevoz: </w:t>
      </w:r>
      <w:r w:rsidR="009425FD" w:rsidRPr="009425FD">
        <w:rPr>
          <w:sz w:val="24"/>
          <w:szCs w:val="24"/>
        </w:rPr>
        <w:t>Smanjenje</w:t>
      </w:r>
      <w:r w:rsidR="00092576" w:rsidRPr="009425FD">
        <w:rPr>
          <w:sz w:val="24"/>
          <w:szCs w:val="24"/>
        </w:rPr>
        <w:t xml:space="preserve"> se odnosi na </w:t>
      </w:r>
      <w:r w:rsidR="009425FD" w:rsidRPr="009425FD">
        <w:rPr>
          <w:sz w:val="24"/>
          <w:szCs w:val="24"/>
        </w:rPr>
        <w:t>trenutni broj zaposlenika</w:t>
      </w:r>
      <w:r w:rsidR="00092576" w:rsidRPr="009425FD">
        <w:rPr>
          <w:sz w:val="24"/>
          <w:szCs w:val="24"/>
        </w:rPr>
        <w:t>.</w:t>
      </w:r>
    </w:p>
    <w:p w14:paraId="2E049FC8" w14:textId="68EC69BF" w:rsidR="00205A3D" w:rsidRDefault="00205A3D">
      <w:pPr>
        <w:jc w:val="left"/>
        <w:rPr>
          <w:sz w:val="24"/>
          <w:szCs w:val="24"/>
        </w:rPr>
      </w:pPr>
      <w:r w:rsidRPr="004F7EF6">
        <w:rPr>
          <w:sz w:val="24"/>
          <w:szCs w:val="24"/>
        </w:rPr>
        <w:t xml:space="preserve">Rashodi za </w:t>
      </w:r>
      <w:r w:rsidR="00F209A9" w:rsidRPr="004F7EF6">
        <w:rPr>
          <w:sz w:val="24"/>
          <w:szCs w:val="24"/>
        </w:rPr>
        <w:t xml:space="preserve">putne troškove su </w:t>
      </w:r>
      <w:r w:rsidR="004F7EF6" w:rsidRPr="004F7EF6">
        <w:rPr>
          <w:sz w:val="24"/>
          <w:szCs w:val="24"/>
        </w:rPr>
        <w:t>smanjeni</w:t>
      </w:r>
      <w:r w:rsidR="00F209A9" w:rsidRPr="004F7EF6">
        <w:rPr>
          <w:sz w:val="24"/>
          <w:szCs w:val="24"/>
        </w:rPr>
        <w:t xml:space="preserve"> obzirom na broj putovanja</w:t>
      </w:r>
      <w:r w:rsidR="004F7EF6">
        <w:rPr>
          <w:sz w:val="24"/>
          <w:szCs w:val="24"/>
        </w:rPr>
        <w:t>.</w:t>
      </w:r>
    </w:p>
    <w:p w14:paraId="660E8869" w14:textId="1830399C" w:rsidR="004F7EF6" w:rsidRPr="004F7EF6" w:rsidRDefault="00C114D5" w:rsidP="00C114D5">
      <w:pPr>
        <w:rPr>
          <w:sz w:val="24"/>
          <w:szCs w:val="24"/>
        </w:rPr>
      </w:pPr>
      <w:r w:rsidRPr="00C114D5">
        <w:rPr>
          <w:sz w:val="24"/>
          <w:szCs w:val="24"/>
        </w:rPr>
        <w:t>Rashodi za energiju su povećani (78.109,64 eura) iz razloga jer se nalazimo u iznajmljenom prostoru gdje su režije veće i uvećane za 25 % PDV-a zbog prefakturiranja režijskih troškova od strane zakupodavca, kao i zbog troškova režija zgrade u Gajevoj 30A koje plaća Državno odvjetništvo Republike Hrvatske, a kojemu navedeni trošak naknadno podmiruje izvođač radova zgrade u Gajevoj 30A.</w:t>
      </w:r>
    </w:p>
    <w:p w14:paraId="0ADDEF6F" w14:textId="24347B9E" w:rsidR="00205A3D" w:rsidRDefault="006747F0">
      <w:pPr>
        <w:jc w:val="left"/>
        <w:rPr>
          <w:sz w:val="24"/>
          <w:szCs w:val="24"/>
        </w:rPr>
      </w:pPr>
      <w:r w:rsidRPr="004F7EF6">
        <w:rPr>
          <w:sz w:val="24"/>
          <w:szCs w:val="24"/>
        </w:rPr>
        <w:t xml:space="preserve">Tekuće održavanje: </w:t>
      </w:r>
      <w:r w:rsidR="00092576" w:rsidRPr="004F7EF6">
        <w:rPr>
          <w:sz w:val="24"/>
          <w:szCs w:val="24"/>
        </w:rPr>
        <w:t>S</w:t>
      </w:r>
      <w:r w:rsidR="00205A3D" w:rsidRPr="004F7EF6">
        <w:rPr>
          <w:sz w:val="24"/>
          <w:szCs w:val="24"/>
        </w:rPr>
        <w:t xml:space="preserve">redstava </w:t>
      </w:r>
      <w:r w:rsidR="00092576" w:rsidRPr="004F7EF6">
        <w:rPr>
          <w:sz w:val="24"/>
          <w:szCs w:val="24"/>
        </w:rPr>
        <w:t xml:space="preserve">su utrošena </w:t>
      </w:r>
      <w:r w:rsidR="00205A3D" w:rsidRPr="004F7EF6">
        <w:rPr>
          <w:sz w:val="24"/>
          <w:szCs w:val="24"/>
        </w:rPr>
        <w:t>za popravke službenih vozila, servisiranje i popravke klima uređaja, usluge soboslikarskih radova,</w:t>
      </w:r>
      <w:r w:rsidR="00092576" w:rsidRPr="004F7EF6">
        <w:rPr>
          <w:sz w:val="24"/>
          <w:szCs w:val="24"/>
        </w:rPr>
        <w:t xml:space="preserve"> popravke kopirki, printera te uređivanje prostora u koji se DORH- preselio (Branimirova 4)</w:t>
      </w:r>
      <w:r w:rsidR="00205A3D" w:rsidRPr="004F7EF6">
        <w:rPr>
          <w:sz w:val="24"/>
          <w:szCs w:val="24"/>
        </w:rPr>
        <w:t>.</w:t>
      </w:r>
    </w:p>
    <w:p w14:paraId="6826440C" w14:textId="0D1ECB66" w:rsidR="00C114D5" w:rsidRPr="004F7EF6" w:rsidRDefault="004F7EF6">
      <w:pPr>
        <w:jc w:val="left"/>
        <w:rPr>
          <w:sz w:val="24"/>
          <w:szCs w:val="24"/>
        </w:rPr>
      </w:pPr>
      <w:r>
        <w:rPr>
          <w:sz w:val="24"/>
          <w:szCs w:val="24"/>
        </w:rPr>
        <w:t>Intelektualne usluge 70.875,27 eura su povećane obzirom na odlazak dužnosnika u mirovinu, a imenovanja i dolazak novih još nisu provedena pa su se koristile usluge umirovljenika putem ugovora o djelu.</w:t>
      </w:r>
    </w:p>
    <w:p w14:paraId="1C7F3113" w14:textId="2626A3C6" w:rsidR="00205A3D" w:rsidRPr="009E250D" w:rsidRDefault="006747F0">
      <w:pPr>
        <w:jc w:val="left"/>
        <w:rPr>
          <w:sz w:val="24"/>
          <w:szCs w:val="24"/>
        </w:rPr>
      </w:pPr>
      <w:r w:rsidRPr="004F7EF6">
        <w:rPr>
          <w:sz w:val="24"/>
          <w:szCs w:val="24"/>
        </w:rPr>
        <w:t xml:space="preserve">Nabava opreme: </w:t>
      </w:r>
      <w:r w:rsidR="00092576" w:rsidRPr="004F7EF6">
        <w:rPr>
          <w:sz w:val="24"/>
          <w:szCs w:val="24"/>
        </w:rPr>
        <w:t>Sredstva utrošena za</w:t>
      </w:r>
      <w:r w:rsidR="00205A3D" w:rsidRPr="004F7EF6">
        <w:rPr>
          <w:sz w:val="24"/>
          <w:szCs w:val="24"/>
        </w:rPr>
        <w:t xml:space="preserve"> na</w:t>
      </w:r>
      <w:r w:rsidR="00101CEE" w:rsidRPr="004F7EF6">
        <w:rPr>
          <w:sz w:val="24"/>
          <w:szCs w:val="24"/>
        </w:rPr>
        <w:t xml:space="preserve">bavku novog uredske opreme i </w:t>
      </w:r>
      <w:r w:rsidR="002D5A89" w:rsidRPr="004F7EF6">
        <w:rPr>
          <w:sz w:val="24"/>
          <w:szCs w:val="24"/>
        </w:rPr>
        <w:t>namještaja</w:t>
      </w:r>
      <w:r w:rsidR="00205A3D" w:rsidRPr="004F7EF6">
        <w:rPr>
          <w:sz w:val="24"/>
          <w:szCs w:val="24"/>
        </w:rPr>
        <w:t xml:space="preserve"> i nabavke opreme za održavanje i zaštitu, a sve zbog dotrajalosti postojeće opreme, te za podmirenj</w:t>
      </w:r>
      <w:r w:rsidR="00697DF2" w:rsidRPr="004F7EF6">
        <w:rPr>
          <w:sz w:val="24"/>
          <w:szCs w:val="24"/>
        </w:rPr>
        <w:t xml:space="preserve">e rashoda za </w:t>
      </w:r>
      <w:r w:rsidR="00F209A9" w:rsidRPr="004F7EF6">
        <w:rPr>
          <w:sz w:val="24"/>
          <w:szCs w:val="24"/>
        </w:rPr>
        <w:t>tri</w:t>
      </w:r>
      <w:r w:rsidR="00697DF2" w:rsidRPr="004F7EF6">
        <w:rPr>
          <w:sz w:val="24"/>
          <w:szCs w:val="24"/>
        </w:rPr>
        <w:t xml:space="preserve"> službena vozil</w:t>
      </w:r>
      <w:r w:rsidR="00F209A9" w:rsidRPr="004F7EF6">
        <w:rPr>
          <w:sz w:val="24"/>
          <w:szCs w:val="24"/>
        </w:rPr>
        <w:t>a nabavljena putem financijskog</w:t>
      </w:r>
      <w:r w:rsidR="00092576" w:rsidRPr="004F7EF6">
        <w:rPr>
          <w:sz w:val="24"/>
          <w:szCs w:val="24"/>
        </w:rPr>
        <w:t xml:space="preserve"> leasinga</w:t>
      </w:r>
      <w:r w:rsidR="00F209A9" w:rsidRPr="004F7EF6">
        <w:rPr>
          <w:sz w:val="24"/>
          <w:szCs w:val="24"/>
        </w:rPr>
        <w:t>.</w:t>
      </w:r>
    </w:p>
    <w:p w14:paraId="771C3049" w14:textId="253D8D62" w:rsidR="006747F0" w:rsidRPr="009E250D" w:rsidRDefault="006747F0">
      <w:pPr>
        <w:jc w:val="left"/>
        <w:rPr>
          <w:b/>
          <w:sz w:val="24"/>
          <w:szCs w:val="24"/>
        </w:rPr>
      </w:pPr>
      <w:r w:rsidRPr="009E250D">
        <w:rPr>
          <w:b/>
          <w:sz w:val="24"/>
          <w:szCs w:val="24"/>
        </w:rPr>
        <w:t>IZVOR 31 VLASTITI PRIHODI</w:t>
      </w:r>
    </w:p>
    <w:p w14:paraId="4565A2F8" w14:textId="3365BC3F" w:rsidR="006747F0" w:rsidRDefault="006747F0">
      <w:pPr>
        <w:jc w:val="left"/>
        <w:rPr>
          <w:sz w:val="24"/>
          <w:szCs w:val="24"/>
        </w:rPr>
      </w:pPr>
      <w:r w:rsidRPr="009E250D">
        <w:rPr>
          <w:sz w:val="24"/>
          <w:szCs w:val="24"/>
        </w:rPr>
        <w:t xml:space="preserve">Vlastiti prihodi </w:t>
      </w:r>
      <w:r w:rsidR="00A159F7">
        <w:rPr>
          <w:sz w:val="24"/>
          <w:szCs w:val="24"/>
        </w:rPr>
        <w:t>: Sredstva utrošena za namirnice i usluge popravaka aparata čajne kuhinje, te sredstva za čišćenj</w:t>
      </w:r>
      <w:r w:rsidR="00101CEE">
        <w:rPr>
          <w:sz w:val="24"/>
          <w:szCs w:val="24"/>
        </w:rPr>
        <w:t>e</w:t>
      </w:r>
      <w:r w:rsidR="00A159F7">
        <w:rPr>
          <w:sz w:val="24"/>
          <w:szCs w:val="24"/>
        </w:rPr>
        <w:t>.</w:t>
      </w:r>
    </w:p>
    <w:p w14:paraId="4F959737" w14:textId="403E3548" w:rsidR="006747F0" w:rsidRDefault="006747F0">
      <w:pPr>
        <w:jc w:val="left"/>
      </w:pPr>
    </w:p>
    <w:p w14:paraId="40F66022" w14:textId="790A575B" w:rsidR="00E8632D" w:rsidRDefault="00E8632D" w:rsidP="00E8632D">
      <w:pPr>
        <w:jc w:val="left"/>
        <w:rPr>
          <w:b/>
          <w:sz w:val="24"/>
          <w:szCs w:val="24"/>
        </w:rPr>
      </w:pPr>
      <w:r w:rsidRPr="009E250D">
        <w:rPr>
          <w:b/>
          <w:sz w:val="24"/>
          <w:szCs w:val="24"/>
        </w:rPr>
        <w:t xml:space="preserve">IZVOR </w:t>
      </w:r>
      <w:r>
        <w:rPr>
          <w:b/>
          <w:sz w:val="24"/>
          <w:szCs w:val="24"/>
        </w:rPr>
        <w:t>43</w:t>
      </w:r>
      <w:r w:rsidRPr="009E250D">
        <w:rPr>
          <w:b/>
          <w:sz w:val="24"/>
          <w:szCs w:val="24"/>
        </w:rPr>
        <w:t xml:space="preserve"> </w:t>
      </w:r>
      <w:r>
        <w:rPr>
          <w:b/>
          <w:sz w:val="24"/>
          <w:szCs w:val="24"/>
        </w:rPr>
        <w:t xml:space="preserve">OSTALI </w:t>
      </w:r>
      <w:r w:rsidRPr="009E250D">
        <w:rPr>
          <w:b/>
          <w:sz w:val="24"/>
          <w:szCs w:val="24"/>
        </w:rPr>
        <w:t>PRIHODI</w:t>
      </w:r>
      <w:r>
        <w:rPr>
          <w:b/>
          <w:sz w:val="24"/>
          <w:szCs w:val="24"/>
        </w:rPr>
        <w:t xml:space="preserve"> ZA POSEBNE NAMJENE - Ratni zločini</w:t>
      </w:r>
    </w:p>
    <w:p w14:paraId="7BCB2808" w14:textId="67C1BE0F" w:rsidR="00E8632D" w:rsidRPr="00E8632D" w:rsidRDefault="00E8632D" w:rsidP="00E8632D">
      <w:pPr>
        <w:jc w:val="left"/>
        <w:rPr>
          <w:bCs/>
          <w:sz w:val="24"/>
          <w:szCs w:val="24"/>
        </w:rPr>
      </w:pPr>
      <w:r>
        <w:rPr>
          <w:bCs/>
          <w:sz w:val="24"/>
          <w:szCs w:val="24"/>
        </w:rPr>
        <w:lastRenderedPageBreak/>
        <w:t xml:space="preserve">Prihodi koji su iz ranijih godina koji se koriste isključivo za troškove vezane uz </w:t>
      </w:r>
      <w:r w:rsidRPr="00E8632D">
        <w:rPr>
          <w:bCs/>
          <w:sz w:val="24"/>
          <w:szCs w:val="24"/>
        </w:rPr>
        <w:t>tematiku</w:t>
      </w:r>
      <w:r>
        <w:rPr>
          <w:bCs/>
          <w:sz w:val="24"/>
          <w:szCs w:val="24"/>
        </w:rPr>
        <w:t xml:space="preserve"> za ratne zločine (troškovi skupova, službenih putovana, zakupnine dvorana). </w:t>
      </w:r>
    </w:p>
    <w:p w14:paraId="1279CB7A" w14:textId="74D5EBE8" w:rsidR="00E8632D" w:rsidRPr="009E250D" w:rsidRDefault="00E8632D" w:rsidP="00E8632D">
      <w:pPr>
        <w:jc w:val="left"/>
        <w:rPr>
          <w:b/>
          <w:sz w:val="24"/>
          <w:szCs w:val="24"/>
        </w:rPr>
      </w:pPr>
    </w:p>
    <w:p w14:paraId="60F38424" w14:textId="77777777" w:rsidR="00101CEE" w:rsidRDefault="00101CEE">
      <w:pPr>
        <w:jc w:val="left"/>
      </w:pPr>
    </w:p>
    <w:p w14:paraId="79214F50" w14:textId="77777777" w:rsidR="00101CEE" w:rsidRDefault="00101CEE">
      <w:pPr>
        <w:jc w:val="left"/>
      </w:pPr>
    </w:p>
    <w:p w14:paraId="0DECA208" w14:textId="77777777" w:rsidR="00101CEE" w:rsidRDefault="00101CEE">
      <w:pPr>
        <w:jc w:val="left"/>
      </w:pPr>
    </w:p>
    <w:p w14:paraId="4A10CB06" w14:textId="77777777" w:rsidR="00101CEE" w:rsidRDefault="00101CEE">
      <w:pPr>
        <w:jc w:val="left"/>
      </w:pPr>
    </w:p>
    <w:p w14:paraId="41976B8A" w14:textId="77777777" w:rsidR="00B924BC" w:rsidRDefault="00B924BC">
      <w:pPr>
        <w:jc w:val="left"/>
      </w:pPr>
    </w:p>
    <w:p w14:paraId="2FFEE8A0" w14:textId="77777777" w:rsidR="004E5DF9" w:rsidRDefault="004E5DF9">
      <w:pPr>
        <w:jc w:val="left"/>
      </w:pPr>
    </w:p>
    <w:p w14:paraId="69056758" w14:textId="52D82773" w:rsidR="00B924BC" w:rsidRDefault="003142ED">
      <w:pPr>
        <w:pStyle w:val="Naslov4"/>
      </w:pPr>
      <w:r>
        <w:t>A634002 MEĐUNARODNA SURADNJA DRŽAVNIH ODVJENIŠTAVA</w:t>
      </w:r>
    </w:p>
    <w:p w14:paraId="19D8FA69" w14:textId="77777777" w:rsidR="00247427" w:rsidRPr="002D5A89" w:rsidRDefault="00247427">
      <w:pPr>
        <w:rPr>
          <w:b/>
        </w:rPr>
      </w:pPr>
      <w:r w:rsidRPr="002D5A89">
        <w:rPr>
          <w:b/>
        </w:rPr>
        <w:t>Zakonske i druge pravne osnove</w:t>
      </w:r>
    </w:p>
    <w:p w14:paraId="2F38740F" w14:textId="6CAAF48C" w:rsidR="00B924BC" w:rsidRDefault="00247427">
      <w:r w:rsidRPr="002D5A89">
        <w:t>Zakon o državnom odvjetništvu, Zakon o međunarodnoj pravnoj pomoći u kaznenim stvarima</w:t>
      </w:r>
    </w:p>
    <w:tbl>
      <w:tblPr>
        <w:tblStyle w:val="StilTablice"/>
        <w:tblW w:w="10347" w:type="dxa"/>
        <w:jc w:val="center"/>
        <w:tblLook w:val="04A0" w:firstRow="1" w:lastRow="0" w:firstColumn="1" w:lastColumn="0" w:noHBand="0" w:noVBand="1"/>
      </w:tblPr>
      <w:tblGrid>
        <w:gridCol w:w="1206"/>
        <w:gridCol w:w="1843"/>
        <w:gridCol w:w="1843"/>
        <w:gridCol w:w="1701"/>
        <w:gridCol w:w="1701"/>
        <w:gridCol w:w="1083"/>
        <w:gridCol w:w="970"/>
      </w:tblGrid>
      <w:tr w:rsidR="00FF60AC" w14:paraId="6B00B9F8" w14:textId="77777777" w:rsidTr="00FF60AC">
        <w:trPr>
          <w:jc w:val="center"/>
        </w:trPr>
        <w:tc>
          <w:tcPr>
            <w:tcW w:w="1206" w:type="dxa"/>
            <w:shd w:val="clear" w:color="auto" w:fill="B5C0D8"/>
          </w:tcPr>
          <w:p w14:paraId="23C92756" w14:textId="77777777" w:rsidR="005F1F27" w:rsidRDefault="005F1F27" w:rsidP="000F24C5">
            <w:pPr>
              <w:pStyle w:val="CellHeader"/>
              <w:jc w:val="center"/>
            </w:pPr>
            <w:r>
              <w:rPr>
                <w:rFonts w:cs="Times New Roman"/>
              </w:rPr>
              <w:t>Naziv aktivnosti</w:t>
            </w:r>
          </w:p>
        </w:tc>
        <w:tc>
          <w:tcPr>
            <w:tcW w:w="1843" w:type="dxa"/>
            <w:shd w:val="clear" w:color="auto" w:fill="B5C0D8"/>
          </w:tcPr>
          <w:p w14:paraId="76F6D772" w14:textId="5B642726" w:rsidR="005F1F27" w:rsidRDefault="00CD0268" w:rsidP="000F24C5">
            <w:pPr>
              <w:pStyle w:val="CellHeader"/>
              <w:jc w:val="center"/>
            </w:pPr>
            <w:r>
              <w:rPr>
                <w:rFonts w:cs="Times New Roman"/>
              </w:rPr>
              <w:t>Izvršenje 202</w:t>
            </w:r>
            <w:r w:rsidR="00906B6D">
              <w:rPr>
                <w:rFonts w:cs="Times New Roman"/>
              </w:rPr>
              <w:t>4</w:t>
            </w:r>
            <w:r w:rsidR="005F1F27">
              <w:rPr>
                <w:rFonts w:cs="Times New Roman"/>
              </w:rPr>
              <w:t>.</w:t>
            </w:r>
          </w:p>
        </w:tc>
        <w:tc>
          <w:tcPr>
            <w:tcW w:w="1843" w:type="dxa"/>
            <w:shd w:val="clear" w:color="auto" w:fill="B5C0D8"/>
          </w:tcPr>
          <w:p w14:paraId="76B41C02" w14:textId="7D3C663F" w:rsidR="005F1F27" w:rsidRDefault="00980720" w:rsidP="000F24C5">
            <w:pPr>
              <w:pStyle w:val="CellHeader"/>
              <w:jc w:val="center"/>
            </w:pPr>
            <w:r>
              <w:rPr>
                <w:rFonts w:cs="Times New Roman"/>
              </w:rPr>
              <w:t>Plan 202</w:t>
            </w:r>
            <w:r w:rsidR="00906B6D">
              <w:rPr>
                <w:rFonts w:cs="Times New Roman"/>
              </w:rPr>
              <w:t>5</w:t>
            </w:r>
            <w:r w:rsidR="005F1F27">
              <w:rPr>
                <w:rFonts w:cs="Times New Roman"/>
              </w:rPr>
              <w:t>.</w:t>
            </w:r>
          </w:p>
        </w:tc>
        <w:tc>
          <w:tcPr>
            <w:tcW w:w="1701" w:type="dxa"/>
            <w:shd w:val="clear" w:color="auto" w:fill="B5C0D8"/>
          </w:tcPr>
          <w:p w14:paraId="033FF39D" w14:textId="77777777" w:rsidR="000F24C5" w:rsidRDefault="000F24C5" w:rsidP="000F24C5">
            <w:pPr>
              <w:pStyle w:val="CellHeader"/>
              <w:jc w:val="center"/>
              <w:rPr>
                <w:rFonts w:cs="Times New Roman"/>
              </w:rPr>
            </w:pPr>
            <w:r>
              <w:rPr>
                <w:rFonts w:cs="Times New Roman"/>
              </w:rPr>
              <w:t>Tekući plan</w:t>
            </w:r>
          </w:p>
          <w:p w14:paraId="744C48DC" w14:textId="4DD6DA2B" w:rsidR="005F1F27" w:rsidRDefault="000F24C5" w:rsidP="000F24C5">
            <w:pPr>
              <w:pStyle w:val="CellHeader"/>
              <w:jc w:val="center"/>
              <w:rPr>
                <w:rFonts w:cs="Times New Roman"/>
              </w:rPr>
            </w:pPr>
            <w:r>
              <w:rPr>
                <w:rFonts w:cs="Times New Roman"/>
              </w:rPr>
              <w:t>202</w:t>
            </w:r>
            <w:r w:rsidR="00906B6D">
              <w:rPr>
                <w:rFonts w:cs="Times New Roman"/>
              </w:rPr>
              <w:t>5</w:t>
            </w:r>
          </w:p>
        </w:tc>
        <w:tc>
          <w:tcPr>
            <w:tcW w:w="1701" w:type="dxa"/>
            <w:shd w:val="clear" w:color="auto" w:fill="B5C0D8"/>
          </w:tcPr>
          <w:p w14:paraId="2BE2A0C3" w14:textId="335B6D38" w:rsidR="000F24C5" w:rsidRDefault="000F24C5" w:rsidP="000F24C5">
            <w:pPr>
              <w:pStyle w:val="CellHeader"/>
              <w:jc w:val="center"/>
              <w:rPr>
                <w:rFonts w:cs="Times New Roman"/>
              </w:rPr>
            </w:pPr>
            <w:r>
              <w:rPr>
                <w:rFonts w:cs="Times New Roman"/>
              </w:rPr>
              <w:t>Izvršenje 202</w:t>
            </w:r>
            <w:r w:rsidR="00906B6D">
              <w:rPr>
                <w:rFonts w:cs="Times New Roman"/>
              </w:rPr>
              <w:t>5</w:t>
            </w:r>
            <w:r>
              <w:rPr>
                <w:rFonts w:cs="Times New Roman"/>
              </w:rPr>
              <w:t>.</w:t>
            </w:r>
          </w:p>
          <w:p w14:paraId="172404EB" w14:textId="77777777" w:rsidR="005F1F27" w:rsidRDefault="005F1F27" w:rsidP="000F24C5">
            <w:pPr>
              <w:pStyle w:val="CellHeader"/>
              <w:jc w:val="center"/>
              <w:rPr>
                <w:rFonts w:cs="Times New Roman"/>
              </w:rPr>
            </w:pPr>
          </w:p>
        </w:tc>
        <w:tc>
          <w:tcPr>
            <w:tcW w:w="1083" w:type="dxa"/>
            <w:shd w:val="clear" w:color="auto" w:fill="B5C0D8"/>
          </w:tcPr>
          <w:p w14:paraId="07EA1B70" w14:textId="366DFFC2" w:rsidR="00FF60AC" w:rsidRDefault="00FF60AC" w:rsidP="000F24C5">
            <w:pPr>
              <w:pStyle w:val="CellHeader"/>
              <w:jc w:val="center"/>
              <w:rPr>
                <w:rFonts w:cs="Times New Roman"/>
              </w:rPr>
            </w:pPr>
            <w:r>
              <w:rPr>
                <w:rFonts w:cs="Times New Roman"/>
              </w:rPr>
              <w:t>Indeks izvršenja 202</w:t>
            </w:r>
            <w:r w:rsidR="00906B6D">
              <w:rPr>
                <w:rFonts w:cs="Times New Roman"/>
              </w:rPr>
              <w:t>5</w:t>
            </w:r>
            <w:r>
              <w:rPr>
                <w:rFonts w:cs="Times New Roman"/>
              </w:rPr>
              <w:t>/plan 202</w:t>
            </w:r>
            <w:r w:rsidR="00906B6D">
              <w:rPr>
                <w:rFonts w:cs="Times New Roman"/>
              </w:rPr>
              <w:t>5</w:t>
            </w:r>
          </w:p>
          <w:p w14:paraId="2F3DAA91" w14:textId="77777777" w:rsidR="005F1F27" w:rsidRDefault="005F1F27" w:rsidP="000F24C5">
            <w:pPr>
              <w:pStyle w:val="CellHeader"/>
              <w:jc w:val="center"/>
              <w:rPr>
                <w:rFonts w:cs="Times New Roman"/>
              </w:rPr>
            </w:pPr>
          </w:p>
        </w:tc>
        <w:tc>
          <w:tcPr>
            <w:tcW w:w="970" w:type="dxa"/>
            <w:shd w:val="clear" w:color="auto" w:fill="B5C0D8"/>
          </w:tcPr>
          <w:p w14:paraId="0B41810E" w14:textId="72FF9368" w:rsidR="005F1F27" w:rsidRDefault="00FF60AC" w:rsidP="000F24C5">
            <w:pPr>
              <w:pStyle w:val="CellHeader"/>
              <w:jc w:val="center"/>
            </w:pPr>
            <w:r>
              <w:rPr>
                <w:rFonts w:cs="Times New Roman"/>
              </w:rPr>
              <w:t>Indeks 202</w:t>
            </w:r>
            <w:r w:rsidR="00906B6D">
              <w:rPr>
                <w:rFonts w:cs="Times New Roman"/>
              </w:rPr>
              <w:t>5</w:t>
            </w:r>
            <w:r>
              <w:rPr>
                <w:rFonts w:cs="Times New Roman"/>
              </w:rPr>
              <w:t>/202</w:t>
            </w:r>
            <w:r w:rsidR="00906B6D">
              <w:rPr>
                <w:rFonts w:cs="Times New Roman"/>
              </w:rPr>
              <w:t>4</w:t>
            </w:r>
          </w:p>
        </w:tc>
      </w:tr>
      <w:tr w:rsidR="005F1F27" w14:paraId="7E243DDD" w14:textId="77777777" w:rsidTr="00FF60AC">
        <w:trPr>
          <w:jc w:val="center"/>
        </w:trPr>
        <w:tc>
          <w:tcPr>
            <w:tcW w:w="1206" w:type="dxa"/>
            <w:vAlign w:val="top"/>
          </w:tcPr>
          <w:p w14:paraId="15EB4EAA" w14:textId="3E139A77" w:rsidR="005F1F27" w:rsidRDefault="005F1F27">
            <w:pPr>
              <w:pStyle w:val="CellColumn"/>
              <w:jc w:val="left"/>
            </w:pPr>
            <w:r>
              <w:rPr>
                <w:rFonts w:cs="Times New Roman"/>
              </w:rPr>
              <w:t>A634002</w:t>
            </w:r>
          </w:p>
        </w:tc>
        <w:tc>
          <w:tcPr>
            <w:tcW w:w="1843" w:type="dxa"/>
            <w:vAlign w:val="top"/>
          </w:tcPr>
          <w:p w14:paraId="7F359510" w14:textId="7AAF0347" w:rsidR="005F1F27" w:rsidRDefault="00AA420B" w:rsidP="005F1F27">
            <w:pPr>
              <w:jc w:val="center"/>
            </w:pPr>
            <w:r>
              <w:t>14.181,71</w:t>
            </w:r>
          </w:p>
        </w:tc>
        <w:tc>
          <w:tcPr>
            <w:tcW w:w="1843" w:type="dxa"/>
            <w:vAlign w:val="top"/>
          </w:tcPr>
          <w:p w14:paraId="45A487B0" w14:textId="0B3CFE21" w:rsidR="005F1F27" w:rsidRDefault="00182047" w:rsidP="005F1F27">
            <w:pPr>
              <w:jc w:val="center"/>
            </w:pPr>
            <w:r>
              <w:t>44.800,00</w:t>
            </w:r>
          </w:p>
        </w:tc>
        <w:tc>
          <w:tcPr>
            <w:tcW w:w="1701" w:type="dxa"/>
          </w:tcPr>
          <w:p w14:paraId="25E385E9" w14:textId="1BE5F9C8" w:rsidR="005F1F27" w:rsidRDefault="00906B6D" w:rsidP="005F1F27">
            <w:pPr>
              <w:jc w:val="center"/>
            </w:pPr>
            <w:r>
              <w:t>29.130,00</w:t>
            </w:r>
          </w:p>
        </w:tc>
        <w:tc>
          <w:tcPr>
            <w:tcW w:w="1701" w:type="dxa"/>
          </w:tcPr>
          <w:p w14:paraId="5A01D4AC" w14:textId="070D14C2" w:rsidR="005F1F27" w:rsidRDefault="00906B6D" w:rsidP="005F1F27">
            <w:pPr>
              <w:jc w:val="center"/>
            </w:pPr>
            <w:r>
              <w:t>24.480,36</w:t>
            </w:r>
          </w:p>
        </w:tc>
        <w:tc>
          <w:tcPr>
            <w:tcW w:w="1083" w:type="dxa"/>
          </w:tcPr>
          <w:p w14:paraId="0A33730C" w14:textId="789EC468" w:rsidR="005F1F27" w:rsidRDefault="00906B6D" w:rsidP="005F1F27">
            <w:pPr>
              <w:jc w:val="center"/>
            </w:pPr>
            <w:r>
              <w:t>84,00</w:t>
            </w:r>
          </w:p>
        </w:tc>
        <w:tc>
          <w:tcPr>
            <w:tcW w:w="970" w:type="dxa"/>
            <w:vAlign w:val="top"/>
          </w:tcPr>
          <w:p w14:paraId="2C20B749" w14:textId="52431151" w:rsidR="005F1F27" w:rsidRDefault="00906B6D" w:rsidP="005F1F27">
            <w:pPr>
              <w:jc w:val="center"/>
            </w:pPr>
            <w:r>
              <w:t>172,60</w:t>
            </w:r>
          </w:p>
        </w:tc>
      </w:tr>
    </w:tbl>
    <w:p w14:paraId="4F663907" w14:textId="0C36BB7C" w:rsidR="00B924BC" w:rsidRDefault="00B924BC">
      <w:pPr>
        <w:jc w:val="left"/>
      </w:pPr>
    </w:p>
    <w:p w14:paraId="20BA9E45" w14:textId="04A88159" w:rsidR="009E250D" w:rsidRPr="009E250D" w:rsidRDefault="009E250D">
      <w:pPr>
        <w:jc w:val="left"/>
        <w:rPr>
          <w:b/>
        </w:rPr>
      </w:pPr>
      <w:r w:rsidRPr="009E250D">
        <w:rPr>
          <w:b/>
        </w:rPr>
        <w:t>IZVOR 11</w:t>
      </w:r>
    </w:p>
    <w:p w14:paraId="524BF7A4" w14:textId="4CDC064B" w:rsidR="00B924BC" w:rsidRPr="00442D35" w:rsidRDefault="00A159F7">
      <w:pPr>
        <w:jc w:val="left"/>
        <w:rPr>
          <w:sz w:val="24"/>
          <w:szCs w:val="24"/>
        </w:rPr>
      </w:pPr>
      <w:r w:rsidRPr="00E41213">
        <w:rPr>
          <w:sz w:val="24"/>
          <w:szCs w:val="24"/>
        </w:rPr>
        <w:t>Materijalni rashodi</w:t>
      </w:r>
      <w:r w:rsidR="009E250D" w:rsidRPr="00E41213">
        <w:rPr>
          <w:sz w:val="24"/>
          <w:szCs w:val="24"/>
        </w:rPr>
        <w:t>: rashodi službenih putovanja, naknade troškova osobama izvan radnog odnosa-službena putovanja-(savjetnicima koji su iz drugih tijela upućeni na rad u DORH), rashode reprezentacije za ugošćavanje inozemnih delegacija, rashode protokola prilikom odlaska predstavnika DORH-a i posjeta inozemnih delegaciju DORH-u i sl.</w:t>
      </w:r>
      <w:r w:rsidR="00E41213">
        <w:rPr>
          <w:sz w:val="24"/>
          <w:szCs w:val="24"/>
        </w:rPr>
        <w:t>.</w:t>
      </w:r>
      <w:r w:rsidR="004F7EF6">
        <w:rPr>
          <w:sz w:val="24"/>
          <w:szCs w:val="24"/>
        </w:rPr>
        <w:t>koji je u 2025.-oj bilo više nego prethodne godine.</w:t>
      </w:r>
    </w:p>
    <w:p w14:paraId="4713ABF5" w14:textId="77777777" w:rsidR="00B924BC" w:rsidRDefault="00B924BC">
      <w:pPr>
        <w:jc w:val="left"/>
      </w:pPr>
    </w:p>
    <w:p w14:paraId="58B8BB88" w14:textId="4D664999" w:rsidR="00B924BC" w:rsidRDefault="003142ED">
      <w:pPr>
        <w:pStyle w:val="Naslov4"/>
      </w:pPr>
      <w:r>
        <w:t>A634013 ZASTUPANJE REPUBLIKE HRVATSKE U INOZEMSTVU</w:t>
      </w:r>
    </w:p>
    <w:p w14:paraId="2D4B8628" w14:textId="77777777" w:rsidR="00247427" w:rsidRPr="002D5A89" w:rsidRDefault="00247427">
      <w:pPr>
        <w:rPr>
          <w:b/>
        </w:rPr>
      </w:pPr>
      <w:r w:rsidRPr="002D5A89">
        <w:rPr>
          <w:b/>
        </w:rPr>
        <w:t xml:space="preserve">Zakonske i druge pravne osnove </w:t>
      </w:r>
    </w:p>
    <w:p w14:paraId="1C9A2575" w14:textId="2DACD72E" w:rsidR="002F0A69" w:rsidRDefault="00247427">
      <w:r w:rsidRPr="002D5A89">
        <w:t>Zakon o državnom odvjetništvu</w:t>
      </w:r>
    </w:p>
    <w:tbl>
      <w:tblPr>
        <w:tblStyle w:val="StilTablice"/>
        <w:tblW w:w="10341" w:type="dxa"/>
        <w:jc w:val="center"/>
        <w:tblLayout w:type="fixed"/>
        <w:tblLook w:val="04A0" w:firstRow="1" w:lastRow="0" w:firstColumn="1" w:lastColumn="0" w:noHBand="0" w:noVBand="1"/>
      </w:tblPr>
      <w:tblGrid>
        <w:gridCol w:w="1136"/>
        <w:gridCol w:w="1841"/>
        <w:gridCol w:w="1845"/>
        <w:gridCol w:w="1768"/>
        <w:gridCol w:w="1559"/>
        <w:gridCol w:w="1134"/>
        <w:gridCol w:w="1058"/>
      </w:tblGrid>
      <w:tr w:rsidR="000068A2" w14:paraId="5E09BEB0" w14:textId="77777777" w:rsidTr="007A3B00">
        <w:trPr>
          <w:jc w:val="center"/>
        </w:trPr>
        <w:tc>
          <w:tcPr>
            <w:tcW w:w="1136" w:type="dxa"/>
            <w:shd w:val="clear" w:color="auto" w:fill="B5C0D8"/>
          </w:tcPr>
          <w:p w14:paraId="609BAC4E" w14:textId="77777777" w:rsidR="000068A2" w:rsidRDefault="000068A2" w:rsidP="003C5DBA">
            <w:pPr>
              <w:pStyle w:val="CellHeader"/>
              <w:jc w:val="center"/>
            </w:pPr>
            <w:r>
              <w:rPr>
                <w:rFonts w:cs="Times New Roman"/>
              </w:rPr>
              <w:t>Naziv aktivnosti</w:t>
            </w:r>
          </w:p>
        </w:tc>
        <w:tc>
          <w:tcPr>
            <w:tcW w:w="1841" w:type="dxa"/>
            <w:shd w:val="clear" w:color="auto" w:fill="B5C0D8"/>
          </w:tcPr>
          <w:p w14:paraId="4F2E0C05" w14:textId="19BDC180" w:rsidR="000068A2" w:rsidRDefault="00980720" w:rsidP="00CD0268">
            <w:pPr>
              <w:pStyle w:val="CellHeader"/>
              <w:jc w:val="center"/>
            </w:pPr>
            <w:r>
              <w:rPr>
                <w:rFonts w:cs="Times New Roman"/>
              </w:rPr>
              <w:t>Izvršenje 202</w:t>
            </w:r>
            <w:r w:rsidR="007A3B00">
              <w:rPr>
                <w:rFonts w:cs="Times New Roman"/>
              </w:rPr>
              <w:t>4</w:t>
            </w:r>
            <w:r w:rsidR="000068A2">
              <w:rPr>
                <w:rFonts w:cs="Times New Roman"/>
              </w:rPr>
              <w:t>.</w:t>
            </w:r>
          </w:p>
        </w:tc>
        <w:tc>
          <w:tcPr>
            <w:tcW w:w="1845" w:type="dxa"/>
            <w:shd w:val="clear" w:color="auto" w:fill="B5C0D8"/>
          </w:tcPr>
          <w:p w14:paraId="348FF3EF" w14:textId="7D5EB1B9" w:rsidR="000068A2" w:rsidRDefault="00CD0268" w:rsidP="003C5DBA">
            <w:pPr>
              <w:pStyle w:val="CellHeader"/>
              <w:jc w:val="center"/>
            </w:pPr>
            <w:r>
              <w:rPr>
                <w:rFonts w:cs="Times New Roman"/>
              </w:rPr>
              <w:t>Plan 202</w:t>
            </w:r>
            <w:r w:rsidR="007A3B00">
              <w:rPr>
                <w:rFonts w:cs="Times New Roman"/>
              </w:rPr>
              <w:t>5</w:t>
            </w:r>
            <w:r w:rsidR="000068A2">
              <w:rPr>
                <w:rFonts w:cs="Times New Roman"/>
              </w:rPr>
              <w:t>.</w:t>
            </w:r>
          </w:p>
        </w:tc>
        <w:tc>
          <w:tcPr>
            <w:tcW w:w="1768" w:type="dxa"/>
            <w:shd w:val="clear" w:color="auto" w:fill="B5C0D8"/>
          </w:tcPr>
          <w:p w14:paraId="678DFB41" w14:textId="77777777" w:rsidR="000F24C5" w:rsidRDefault="000F24C5" w:rsidP="000F24C5">
            <w:pPr>
              <w:pStyle w:val="CellHeader"/>
              <w:jc w:val="center"/>
              <w:rPr>
                <w:rFonts w:cs="Times New Roman"/>
              </w:rPr>
            </w:pPr>
            <w:r>
              <w:rPr>
                <w:rFonts w:cs="Times New Roman"/>
              </w:rPr>
              <w:t>Tekući plan</w:t>
            </w:r>
          </w:p>
          <w:p w14:paraId="0C1FDF90" w14:textId="6983B169" w:rsidR="000068A2" w:rsidRDefault="000F24C5" w:rsidP="000F24C5">
            <w:pPr>
              <w:pStyle w:val="CellHeader"/>
              <w:jc w:val="center"/>
              <w:rPr>
                <w:rFonts w:cs="Times New Roman"/>
              </w:rPr>
            </w:pPr>
            <w:r>
              <w:rPr>
                <w:rFonts w:cs="Times New Roman"/>
              </w:rPr>
              <w:t>202</w:t>
            </w:r>
            <w:r w:rsidR="007A3B00">
              <w:rPr>
                <w:rFonts w:cs="Times New Roman"/>
              </w:rPr>
              <w:t>5</w:t>
            </w:r>
          </w:p>
        </w:tc>
        <w:tc>
          <w:tcPr>
            <w:tcW w:w="1559" w:type="dxa"/>
            <w:shd w:val="clear" w:color="auto" w:fill="B5C0D8"/>
          </w:tcPr>
          <w:p w14:paraId="5C70374A" w14:textId="591B11CA" w:rsidR="000F24C5" w:rsidRDefault="000F24C5" w:rsidP="000F24C5">
            <w:pPr>
              <w:pStyle w:val="CellHeader"/>
              <w:jc w:val="center"/>
              <w:rPr>
                <w:rFonts w:cs="Times New Roman"/>
              </w:rPr>
            </w:pPr>
            <w:r>
              <w:rPr>
                <w:rFonts w:cs="Times New Roman"/>
              </w:rPr>
              <w:t>Izvršenje 202</w:t>
            </w:r>
            <w:r w:rsidR="007A3B00">
              <w:rPr>
                <w:rFonts w:cs="Times New Roman"/>
              </w:rPr>
              <w:t>5</w:t>
            </w:r>
            <w:r>
              <w:rPr>
                <w:rFonts w:cs="Times New Roman"/>
              </w:rPr>
              <w:t>.</w:t>
            </w:r>
          </w:p>
          <w:p w14:paraId="6206A14B" w14:textId="77777777" w:rsidR="000068A2" w:rsidRDefault="000068A2" w:rsidP="000F24C5">
            <w:pPr>
              <w:pStyle w:val="CellHeader"/>
              <w:jc w:val="center"/>
              <w:rPr>
                <w:rFonts w:cs="Times New Roman"/>
              </w:rPr>
            </w:pPr>
          </w:p>
        </w:tc>
        <w:tc>
          <w:tcPr>
            <w:tcW w:w="1134" w:type="dxa"/>
            <w:shd w:val="clear" w:color="auto" w:fill="B5C0D8"/>
          </w:tcPr>
          <w:p w14:paraId="0E133246" w14:textId="7DF69D10" w:rsidR="00FF60AC" w:rsidRDefault="00FF60AC" w:rsidP="00FF60AC">
            <w:pPr>
              <w:pStyle w:val="CellHeader"/>
              <w:jc w:val="center"/>
              <w:rPr>
                <w:rFonts w:cs="Times New Roman"/>
              </w:rPr>
            </w:pPr>
            <w:r>
              <w:rPr>
                <w:rFonts w:cs="Times New Roman"/>
              </w:rPr>
              <w:t>Indeks izvršenja 202</w:t>
            </w:r>
            <w:r w:rsidR="007A3B00">
              <w:rPr>
                <w:rFonts w:cs="Times New Roman"/>
              </w:rPr>
              <w:t>5</w:t>
            </w:r>
            <w:r>
              <w:rPr>
                <w:rFonts w:cs="Times New Roman"/>
              </w:rPr>
              <w:t>/plan 202</w:t>
            </w:r>
            <w:r w:rsidR="007A3B00">
              <w:rPr>
                <w:rFonts w:cs="Times New Roman"/>
              </w:rPr>
              <w:t>5</w:t>
            </w:r>
          </w:p>
          <w:p w14:paraId="39343051" w14:textId="77777777" w:rsidR="000068A2" w:rsidRDefault="000068A2" w:rsidP="00FF60AC">
            <w:pPr>
              <w:pStyle w:val="CellHeader"/>
              <w:jc w:val="center"/>
              <w:rPr>
                <w:rFonts w:cs="Times New Roman"/>
              </w:rPr>
            </w:pPr>
          </w:p>
        </w:tc>
        <w:tc>
          <w:tcPr>
            <w:tcW w:w="1058" w:type="dxa"/>
            <w:shd w:val="clear" w:color="auto" w:fill="B5C0D8"/>
          </w:tcPr>
          <w:p w14:paraId="263F1B5E" w14:textId="028E724D" w:rsidR="000068A2" w:rsidRDefault="00FF60AC" w:rsidP="00980720">
            <w:pPr>
              <w:pStyle w:val="CellHeader"/>
              <w:jc w:val="center"/>
            </w:pPr>
            <w:r>
              <w:rPr>
                <w:rFonts w:cs="Times New Roman"/>
              </w:rPr>
              <w:t>Indeks 202</w:t>
            </w:r>
            <w:r w:rsidR="007A3B00">
              <w:rPr>
                <w:rFonts w:cs="Times New Roman"/>
              </w:rPr>
              <w:t>5</w:t>
            </w:r>
            <w:r>
              <w:rPr>
                <w:rFonts w:cs="Times New Roman"/>
              </w:rPr>
              <w:t>/202</w:t>
            </w:r>
            <w:r w:rsidR="007A3B00">
              <w:rPr>
                <w:rFonts w:cs="Times New Roman"/>
              </w:rPr>
              <w:t>4</w:t>
            </w:r>
          </w:p>
        </w:tc>
      </w:tr>
      <w:tr w:rsidR="000068A2" w14:paraId="3143CC91" w14:textId="77777777" w:rsidTr="007A3B00">
        <w:trPr>
          <w:jc w:val="center"/>
        </w:trPr>
        <w:tc>
          <w:tcPr>
            <w:tcW w:w="1136" w:type="dxa"/>
            <w:vAlign w:val="top"/>
          </w:tcPr>
          <w:p w14:paraId="36E5421A" w14:textId="2685FA9B" w:rsidR="000068A2" w:rsidRDefault="000068A2" w:rsidP="003C5DBA">
            <w:pPr>
              <w:pStyle w:val="CellColumn"/>
              <w:jc w:val="left"/>
            </w:pPr>
            <w:r>
              <w:rPr>
                <w:rFonts w:cs="Times New Roman"/>
              </w:rPr>
              <w:t>A634013</w:t>
            </w:r>
          </w:p>
        </w:tc>
        <w:tc>
          <w:tcPr>
            <w:tcW w:w="1841" w:type="dxa"/>
            <w:vAlign w:val="top"/>
          </w:tcPr>
          <w:p w14:paraId="1425A2F5" w14:textId="28D3EBDD" w:rsidR="000068A2" w:rsidRDefault="00AA420B" w:rsidP="000068A2">
            <w:pPr>
              <w:jc w:val="center"/>
            </w:pPr>
            <w:r>
              <w:t>5.547.616,26</w:t>
            </w:r>
          </w:p>
        </w:tc>
        <w:tc>
          <w:tcPr>
            <w:tcW w:w="1845" w:type="dxa"/>
            <w:vAlign w:val="top"/>
          </w:tcPr>
          <w:p w14:paraId="02E95DBC" w14:textId="53BC3EFF" w:rsidR="000068A2" w:rsidRDefault="00906B6D" w:rsidP="000068A2">
            <w:pPr>
              <w:jc w:val="center"/>
            </w:pPr>
            <w:r>
              <w:t>9.587.000,00</w:t>
            </w:r>
          </w:p>
        </w:tc>
        <w:tc>
          <w:tcPr>
            <w:tcW w:w="1768" w:type="dxa"/>
          </w:tcPr>
          <w:p w14:paraId="7A959BC4" w14:textId="18FEA0D7" w:rsidR="000068A2" w:rsidRDefault="00906B6D" w:rsidP="000068A2">
            <w:pPr>
              <w:jc w:val="center"/>
            </w:pPr>
            <w:r>
              <w:t>7.189.300,00</w:t>
            </w:r>
          </w:p>
        </w:tc>
        <w:tc>
          <w:tcPr>
            <w:tcW w:w="1559" w:type="dxa"/>
          </w:tcPr>
          <w:p w14:paraId="037F4852" w14:textId="648CF4D8" w:rsidR="000068A2" w:rsidRDefault="00E41213" w:rsidP="000068A2">
            <w:pPr>
              <w:jc w:val="center"/>
            </w:pPr>
            <w:r>
              <w:t>6.578.714,45</w:t>
            </w:r>
          </w:p>
        </w:tc>
        <w:tc>
          <w:tcPr>
            <w:tcW w:w="1134" w:type="dxa"/>
          </w:tcPr>
          <w:p w14:paraId="69482534" w14:textId="03AB35D1" w:rsidR="000068A2" w:rsidRDefault="00E41213" w:rsidP="000068A2">
            <w:pPr>
              <w:jc w:val="center"/>
            </w:pPr>
            <w:r>
              <w:t>91,50</w:t>
            </w:r>
          </w:p>
        </w:tc>
        <w:tc>
          <w:tcPr>
            <w:tcW w:w="1058" w:type="dxa"/>
            <w:vAlign w:val="top"/>
          </w:tcPr>
          <w:p w14:paraId="6D60AFC3" w14:textId="65903DE4" w:rsidR="000068A2" w:rsidRDefault="00E41213" w:rsidP="000068A2">
            <w:pPr>
              <w:jc w:val="center"/>
            </w:pPr>
            <w:r>
              <w:t>118,60</w:t>
            </w:r>
          </w:p>
        </w:tc>
      </w:tr>
    </w:tbl>
    <w:p w14:paraId="110BB2EA" w14:textId="77777777" w:rsidR="00B924BC" w:rsidRDefault="00B924BC">
      <w:pPr>
        <w:jc w:val="left"/>
      </w:pPr>
    </w:p>
    <w:p w14:paraId="76346DC6" w14:textId="77777777" w:rsidR="00A159F7" w:rsidRPr="00E41213" w:rsidRDefault="00B95D8B">
      <w:pPr>
        <w:jc w:val="left"/>
      </w:pPr>
      <w:r w:rsidRPr="00E41213">
        <w:t>Državno odvjetništvo RH zastupa Republiku Hrvatsku u imovinskim sporovima pred inozemnim sudovima, ustanovama i drugim tijelima. U postupcima koji se vode u inozemstvu i u kojima je isključena mogućnost zastupanja po DORH-u, Glavni državni odvjetnik RH uz suglasnost Vlade RH ovlašćuje za zastupanje odgovarajućeg inozemnog stručnjaka, a što je u pravilu odvjetnik iz zemlje u kojoj se vodi pos</w:t>
      </w:r>
      <w:r w:rsidR="00F209A9" w:rsidRPr="00E41213">
        <w:t xml:space="preserve">tupak. </w:t>
      </w:r>
    </w:p>
    <w:p w14:paraId="590E3A06" w14:textId="0F2B692A" w:rsidR="007B2FE3" w:rsidRDefault="00A159F7">
      <w:pPr>
        <w:jc w:val="left"/>
        <w:rPr>
          <w:sz w:val="24"/>
          <w:szCs w:val="24"/>
        </w:rPr>
      </w:pPr>
      <w:r w:rsidRPr="00E41213">
        <w:t>Sredstva utrošena  u 202</w:t>
      </w:r>
      <w:r w:rsidR="00E41213" w:rsidRPr="00E41213">
        <w:t>5</w:t>
      </w:r>
      <w:r w:rsidR="00B95D8B" w:rsidRPr="00E41213">
        <w:t xml:space="preserve">. </w:t>
      </w:r>
      <w:r w:rsidRPr="00E41213">
        <w:t xml:space="preserve">–oj </w:t>
      </w:r>
      <w:r w:rsidR="00B95D8B" w:rsidRPr="00E41213">
        <w:t xml:space="preserve">godini iznose ukupno </w:t>
      </w:r>
      <w:r w:rsidR="00E41213" w:rsidRPr="00E41213">
        <w:t>6.578.714,45</w:t>
      </w:r>
      <w:r w:rsidRPr="00E41213">
        <w:t xml:space="preserve">  eur-a od čega se najveći iznos odnosi</w:t>
      </w:r>
      <w:r w:rsidR="00B95D8B" w:rsidRPr="00E41213">
        <w:t xml:space="preserve"> na troškove intelektualnih i osobnih usluga – usluge odvjetnika po službenoj dužnosti, usluge vještaka te pravnih savjetnika u procesima koji se vode pred međunarodnim sudovima </w:t>
      </w:r>
      <w:r w:rsidRPr="00E41213">
        <w:t xml:space="preserve">. Iznos od </w:t>
      </w:r>
      <w:r w:rsidR="00E41213" w:rsidRPr="00E41213">
        <w:t>5.841.423,69</w:t>
      </w:r>
      <w:r w:rsidRPr="00E41213">
        <w:t xml:space="preserve"> eura na kontu 3237 sadrži u sebi iznos PDV-a</w:t>
      </w:r>
      <w:r w:rsidR="00B95D8B" w:rsidRPr="00E41213">
        <w:t xml:space="preserve"> </w:t>
      </w:r>
      <w:r w:rsidRPr="00E41213">
        <w:t xml:space="preserve">. </w:t>
      </w:r>
      <w:r w:rsidR="00B95D8B" w:rsidRPr="00E41213">
        <w:t>Pristojbe i naknade koj</w:t>
      </w:r>
      <w:r w:rsidR="00F20C3D">
        <w:t>e</w:t>
      </w:r>
      <w:r w:rsidR="00B95D8B" w:rsidRPr="00E41213">
        <w:t xml:space="preserve"> se odnos</w:t>
      </w:r>
      <w:r w:rsidR="00F20C3D">
        <w:t>e</w:t>
      </w:r>
      <w:r w:rsidR="00B95D8B" w:rsidRPr="00E41213">
        <w:t xml:space="preserve"> na plaćanja sudskih pristojbi inozemnim sudovima</w:t>
      </w:r>
      <w:r w:rsidRPr="00E41213">
        <w:t xml:space="preserve"> iznose </w:t>
      </w:r>
      <w:r w:rsidR="00E41213" w:rsidRPr="00E41213">
        <w:t>722.959,32</w:t>
      </w:r>
      <w:r w:rsidRPr="00E41213">
        <w:t xml:space="preserve"> eura</w:t>
      </w:r>
      <w:r w:rsidR="00B95D8B" w:rsidRPr="00E41213">
        <w:t>.</w:t>
      </w:r>
      <w:r w:rsidR="00E8632D">
        <w:t xml:space="preserve"> Početni plan</w:t>
      </w:r>
      <w:r w:rsidR="00C114D5">
        <w:t xml:space="preserve"> na kontu 3237</w:t>
      </w:r>
      <w:r w:rsidR="00E8632D">
        <w:t xml:space="preserve"> je bio </w:t>
      </w:r>
      <w:r w:rsidR="009E3BC2">
        <w:t xml:space="preserve">7.565.000,00 eura </w:t>
      </w:r>
      <w:r w:rsidR="002E3946">
        <w:t xml:space="preserve">, </w:t>
      </w:r>
      <w:r w:rsidR="009E3BC2">
        <w:t xml:space="preserve">ali je tijekom godine došlo do </w:t>
      </w:r>
      <w:r w:rsidR="009E3BC2">
        <w:lastRenderedPageBreak/>
        <w:t xml:space="preserve">smanjenja </w:t>
      </w:r>
      <w:r w:rsidR="002E3946">
        <w:t xml:space="preserve">planiranih troškova po  </w:t>
      </w:r>
      <w:r w:rsidR="009E3BC2">
        <w:t xml:space="preserve"> postup</w:t>
      </w:r>
      <w:r w:rsidR="002E3946">
        <w:t xml:space="preserve">cima </w:t>
      </w:r>
      <w:r w:rsidR="009E3BC2">
        <w:t xml:space="preserve">na koje ne možemo utjecati kad se radi plan, pa je rebalansom bio otpušten višak. </w:t>
      </w:r>
    </w:p>
    <w:p w14:paraId="1B7F2284" w14:textId="630D0ACE" w:rsidR="00697DF2" w:rsidRDefault="00697DF2">
      <w:pPr>
        <w:jc w:val="left"/>
        <w:rPr>
          <w:sz w:val="24"/>
          <w:szCs w:val="24"/>
        </w:rPr>
      </w:pPr>
    </w:p>
    <w:p w14:paraId="066462D9" w14:textId="53206872" w:rsidR="0065760E" w:rsidRDefault="0065760E">
      <w:pPr>
        <w:jc w:val="left"/>
        <w:rPr>
          <w:sz w:val="24"/>
          <w:szCs w:val="24"/>
        </w:rPr>
      </w:pPr>
    </w:p>
    <w:p w14:paraId="1D53AF3D" w14:textId="2DC19FB7" w:rsidR="0065760E" w:rsidRDefault="0065760E">
      <w:pPr>
        <w:jc w:val="left"/>
        <w:rPr>
          <w:sz w:val="24"/>
          <w:szCs w:val="24"/>
        </w:rPr>
      </w:pPr>
    </w:p>
    <w:p w14:paraId="7818F2FD" w14:textId="77777777" w:rsidR="0065760E" w:rsidRDefault="0065760E">
      <w:pPr>
        <w:jc w:val="left"/>
        <w:rPr>
          <w:sz w:val="24"/>
          <w:szCs w:val="24"/>
        </w:rPr>
      </w:pPr>
    </w:p>
    <w:p w14:paraId="0C825587" w14:textId="77777777" w:rsidR="002D5A89" w:rsidRDefault="002D5A89">
      <w:pPr>
        <w:jc w:val="left"/>
        <w:rPr>
          <w:sz w:val="24"/>
          <w:szCs w:val="24"/>
        </w:rPr>
      </w:pPr>
    </w:p>
    <w:p w14:paraId="4AB0B1ED" w14:textId="7F551692" w:rsidR="007B2FE3" w:rsidRDefault="007B2FE3">
      <w:pPr>
        <w:jc w:val="left"/>
        <w:rPr>
          <w:sz w:val="24"/>
          <w:szCs w:val="24"/>
        </w:rPr>
      </w:pPr>
    </w:p>
    <w:p w14:paraId="7E4FE143" w14:textId="6006E1B3" w:rsidR="00697DF2" w:rsidRPr="00442D35" w:rsidRDefault="00697DF2">
      <w:pPr>
        <w:jc w:val="left"/>
        <w:rPr>
          <w:sz w:val="24"/>
          <w:szCs w:val="24"/>
        </w:rPr>
      </w:pPr>
    </w:p>
    <w:sectPr w:rsidR="00697DF2" w:rsidRPr="00442D35" w:rsidSect="00B22582">
      <w:headerReference w:type="default" r:id="rId7"/>
      <w:footerReference w:type="default" r:id="rId8"/>
      <w:type w:val="continuous"/>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74200" w14:textId="77777777" w:rsidR="00903A17" w:rsidRDefault="00903A17" w:rsidP="00F352E6">
      <w:r>
        <w:separator/>
      </w:r>
    </w:p>
  </w:endnote>
  <w:endnote w:type="continuationSeparator" w:id="0">
    <w:p w14:paraId="7BE707E8" w14:textId="77777777" w:rsidR="00903A17" w:rsidRDefault="00903A17"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23D6" w14:textId="4E40273C" w:rsidR="00966FE6" w:rsidRPr="00D769ED" w:rsidRDefault="00966FE6" w:rsidP="008D5592">
    <w:pPr>
      <w:pStyle w:val="Podnoje"/>
      <w:pBdr>
        <w:top w:val="none" w:sz="0" w:space="0" w:color="auto"/>
      </w:pBdr>
      <w:jc w:val="right"/>
      <w:rPr>
        <w:sz w:val="16"/>
        <w:szCs w:val="16"/>
      </w:rPr>
    </w:pPr>
    <w:r w:rsidRPr="008D5592">
      <w:rPr>
        <w:sz w:val="16"/>
        <w:szCs w:val="16"/>
      </w:rPr>
      <w:fldChar w:fldCharType="begin"/>
    </w:r>
    <w:r w:rsidRPr="008D5592">
      <w:rPr>
        <w:sz w:val="16"/>
        <w:szCs w:val="16"/>
      </w:rPr>
      <w:instrText>PAGE   \* MERGEFORMAT</w:instrText>
    </w:r>
    <w:r w:rsidRPr="008D5592">
      <w:rPr>
        <w:sz w:val="16"/>
        <w:szCs w:val="16"/>
      </w:rPr>
      <w:fldChar w:fldCharType="separate"/>
    </w:r>
    <w:r w:rsidR="003C04D1" w:rsidRPr="003C04D1">
      <w:rPr>
        <w:noProof/>
        <w:sz w:val="16"/>
        <w:szCs w:val="16"/>
        <w:lang w:val="hr-HR"/>
      </w:rPr>
      <w:t>3</w:t>
    </w:r>
    <w:r w:rsidRPr="008D5592">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0ADAF" w14:textId="77777777" w:rsidR="00903A17" w:rsidRDefault="00903A17" w:rsidP="00F352E6">
      <w:r>
        <w:separator/>
      </w:r>
    </w:p>
  </w:footnote>
  <w:footnote w:type="continuationSeparator" w:id="0">
    <w:p w14:paraId="113A60AA" w14:textId="77777777" w:rsidR="00903A17" w:rsidRDefault="00903A17"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DB0B" w14:textId="77777777" w:rsidR="00966FE6" w:rsidRDefault="00966FE6" w:rsidP="00A70582">
    <w:pPr>
      <w:pStyle w:val="Zaglavlje"/>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C76"/>
    <w:rsid w:val="000068A2"/>
    <w:rsid w:val="00013A1A"/>
    <w:rsid w:val="0002533C"/>
    <w:rsid w:val="000352D6"/>
    <w:rsid w:val="000357EB"/>
    <w:rsid w:val="00036062"/>
    <w:rsid w:val="00055DBB"/>
    <w:rsid w:val="00074919"/>
    <w:rsid w:val="000771CA"/>
    <w:rsid w:val="00084336"/>
    <w:rsid w:val="00092576"/>
    <w:rsid w:val="000940D0"/>
    <w:rsid w:val="000C0A6C"/>
    <w:rsid w:val="000C31CD"/>
    <w:rsid w:val="000C5204"/>
    <w:rsid w:val="000C6382"/>
    <w:rsid w:val="000F24C5"/>
    <w:rsid w:val="00101CEE"/>
    <w:rsid w:val="0010779D"/>
    <w:rsid w:val="0012088F"/>
    <w:rsid w:val="001236BF"/>
    <w:rsid w:val="0013155A"/>
    <w:rsid w:val="0013699F"/>
    <w:rsid w:val="00160F00"/>
    <w:rsid w:val="00167773"/>
    <w:rsid w:val="0017490A"/>
    <w:rsid w:val="00180CB1"/>
    <w:rsid w:val="00182047"/>
    <w:rsid w:val="00187FC1"/>
    <w:rsid w:val="001A2CB3"/>
    <w:rsid w:val="001C695C"/>
    <w:rsid w:val="001E10FB"/>
    <w:rsid w:val="001E5246"/>
    <w:rsid w:val="00205A3D"/>
    <w:rsid w:val="00207D6C"/>
    <w:rsid w:val="00213C6C"/>
    <w:rsid w:val="00247427"/>
    <w:rsid w:val="00254797"/>
    <w:rsid w:val="00261075"/>
    <w:rsid w:val="00265296"/>
    <w:rsid w:val="0027042C"/>
    <w:rsid w:val="002720FD"/>
    <w:rsid w:val="002A0CD3"/>
    <w:rsid w:val="002A47BB"/>
    <w:rsid w:val="002C4172"/>
    <w:rsid w:val="002D061B"/>
    <w:rsid w:val="002D5A89"/>
    <w:rsid w:val="002E3946"/>
    <w:rsid w:val="002E6710"/>
    <w:rsid w:val="002F0A69"/>
    <w:rsid w:val="00302F3F"/>
    <w:rsid w:val="00311AA1"/>
    <w:rsid w:val="00313B67"/>
    <w:rsid w:val="003142ED"/>
    <w:rsid w:val="0031790B"/>
    <w:rsid w:val="00317AF9"/>
    <w:rsid w:val="00323884"/>
    <w:rsid w:val="00324BB9"/>
    <w:rsid w:val="00334493"/>
    <w:rsid w:val="00372C6E"/>
    <w:rsid w:val="0037513D"/>
    <w:rsid w:val="00375708"/>
    <w:rsid w:val="00382225"/>
    <w:rsid w:val="00386953"/>
    <w:rsid w:val="003A578B"/>
    <w:rsid w:val="003B18F7"/>
    <w:rsid w:val="003C04D1"/>
    <w:rsid w:val="003C2B23"/>
    <w:rsid w:val="003C5DBA"/>
    <w:rsid w:val="003D186F"/>
    <w:rsid w:val="003E75BD"/>
    <w:rsid w:val="00442D35"/>
    <w:rsid w:val="00444468"/>
    <w:rsid w:val="00444893"/>
    <w:rsid w:val="0046109D"/>
    <w:rsid w:val="00462830"/>
    <w:rsid w:val="00463609"/>
    <w:rsid w:val="00480C76"/>
    <w:rsid w:val="00491C97"/>
    <w:rsid w:val="004A40ED"/>
    <w:rsid w:val="004A6030"/>
    <w:rsid w:val="004C01B5"/>
    <w:rsid w:val="004D6D1E"/>
    <w:rsid w:val="004E5DF9"/>
    <w:rsid w:val="004F4BAE"/>
    <w:rsid w:val="004F6164"/>
    <w:rsid w:val="004F7EF6"/>
    <w:rsid w:val="00501961"/>
    <w:rsid w:val="00505016"/>
    <w:rsid w:val="0052289C"/>
    <w:rsid w:val="00522AFF"/>
    <w:rsid w:val="00524A66"/>
    <w:rsid w:val="00526A7C"/>
    <w:rsid w:val="00547079"/>
    <w:rsid w:val="00561A39"/>
    <w:rsid w:val="00587DBE"/>
    <w:rsid w:val="005A70C0"/>
    <w:rsid w:val="005B6ED7"/>
    <w:rsid w:val="005D7084"/>
    <w:rsid w:val="005E0964"/>
    <w:rsid w:val="005E2D85"/>
    <w:rsid w:val="005F1F27"/>
    <w:rsid w:val="005F432E"/>
    <w:rsid w:val="006044F0"/>
    <w:rsid w:val="00633683"/>
    <w:rsid w:val="0064554D"/>
    <w:rsid w:val="00655A61"/>
    <w:rsid w:val="0065760E"/>
    <w:rsid w:val="006657E2"/>
    <w:rsid w:val="00671CEA"/>
    <w:rsid w:val="006724D8"/>
    <w:rsid w:val="00674346"/>
    <w:rsid w:val="006747F0"/>
    <w:rsid w:val="00676EC1"/>
    <w:rsid w:val="00681CC0"/>
    <w:rsid w:val="00690E8C"/>
    <w:rsid w:val="00691EA9"/>
    <w:rsid w:val="00697DF2"/>
    <w:rsid w:val="006A76FB"/>
    <w:rsid w:val="006B3283"/>
    <w:rsid w:val="006D04E1"/>
    <w:rsid w:val="006F7361"/>
    <w:rsid w:val="00704973"/>
    <w:rsid w:val="00714763"/>
    <w:rsid w:val="0071686C"/>
    <w:rsid w:val="007203DB"/>
    <w:rsid w:val="00733408"/>
    <w:rsid w:val="007341BA"/>
    <w:rsid w:val="0074652F"/>
    <w:rsid w:val="00761896"/>
    <w:rsid w:val="007665AA"/>
    <w:rsid w:val="007869F3"/>
    <w:rsid w:val="00795CA6"/>
    <w:rsid w:val="007A3B00"/>
    <w:rsid w:val="007A7E05"/>
    <w:rsid w:val="007A7E45"/>
    <w:rsid w:val="007B1EA2"/>
    <w:rsid w:val="007B2FE3"/>
    <w:rsid w:val="007D1C46"/>
    <w:rsid w:val="007D2E12"/>
    <w:rsid w:val="007D395B"/>
    <w:rsid w:val="007D4430"/>
    <w:rsid w:val="007D6123"/>
    <w:rsid w:val="007E2B6E"/>
    <w:rsid w:val="008173AD"/>
    <w:rsid w:val="00817FBD"/>
    <w:rsid w:val="00826754"/>
    <w:rsid w:val="00830B46"/>
    <w:rsid w:val="00847495"/>
    <w:rsid w:val="008636E2"/>
    <w:rsid w:val="00864414"/>
    <w:rsid w:val="008A7E2A"/>
    <w:rsid w:val="008C05C8"/>
    <w:rsid w:val="008D061A"/>
    <w:rsid w:val="008D4E8C"/>
    <w:rsid w:val="008D5592"/>
    <w:rsid w:val="008E2AD6"/>
    <w:rsid w:val="008F0D2B"/>
    <w:rsid w:val="008F5BD1"/>
    <w:rsid w:val="00903A17"/>
    <w:rsid w:val="00906B6D"/>
    <w:rsid w:val="00924ECE"/>
    <w:rsid w:val="009359F2"/>
    <w:rsid w:val="009425FD"/>
    <w:rsid w:val="0094382E"/>
    <w:rsid w:val="00951B1A"/>
    <w:rsid w:val="00954FF0"/>
    <w:rsid w:val="00966FE6"/>
    <w:rsid w:val="009771D9"/>
    <w:rsid w:val="00980720"/>
    <w:rsid w:val="00985867"/>
    <w:rsid w:val="009A26A8"/>
    <w:rsid w:val="009B0F88"/>
    <w:rsid w:val="009B16E9"/>
    <w:rsid w:val="009C0F4D"/>
    <w:rsid w:val="009E250D"/>
    <w:rsid w:val="009E33D3"/>
    <w:rsid w:val="009E3BC2"/>
    <w:rsid w:val="00A004C6"/>
    <w:rsid w:val="00A021A2"/>
    <w:rsid w:val="00A159F7"/>
    <w:rsid w:val="00A23EBD"/>
    <w:rsid w:val="00A24493"/>
    <w:rsid w:val="00A320E5"/>
    <w:rsid w:val="00A50FFA"/>
    <w:rsid w:val="00A53006"/>
    <w:rsid w:val="00A62E77"/>
    <w:rsid w:val="00A70582"/>
    <w:rsid w:val="00A729C9"/>
    <w:rsid w:val="00A94C3F"/>
    <w:rsid w:val="00AA420B"/>
    <w:rsid w:val="00AB2F57"/>
    <w:rsid w:val="00AB493C"/>
    <w:rsid w:val="00AB5FEA"/>
    <w:rsid w:val="00AB7B4E"/>
    <w:rsid w:val="00AC0167"/>
    <w:rsid w:val="00AC128F"/>
    <w:rsid w:val="00AD2190"/>
    <w:rsid w:val="00AD3D84"/>
    <w:rsid w:val="00AD6B5D"/>
    <w:rsid w:val="00AE4140"/>
    <w:rsid w:val="00AF6274"/>
    <w:rsid w:val="00AF785D"/>
    <w:rsid w:val="00AF7D13"/>
    <w:rsid w:val="00B15311"/>
    <w:rsid w:val="00B15946"/>
    <w:rsid w:val="00B22582"/>
    <w:rsid w:val="00B239D2"/>
    <w:rsid w:val="00B23F76"/>
    <w:rsid w:val="00B26EA8"/>
    <w:rsid w:val="00B2737F"/>
    <w:rsid w:val="00B31E2E"/>
    <w:rsid w:val="00B40B1E"/>
    <w:rsid w:val="00B41BF8"/>
    <w:rsid w:val="00B44E13"/>
    <w:rsid w:val="00B47E6F"/>
    <w:rsid w:val="00B83E0E"/>
    <w:rsid w:val="00B924BC"/>
    <w:rsid w:val="00B95D8B"/>
    <w:rsid w:val="00BA487B"/>
    <w:rsid w:val="00BA7BD1"/>
    <w:rsid w:val="00BB642B"/>
    <w:rsid w:val="00BC5BF6"/>
    <w:rsid w:val="00BF02E9"/>
    <w:rsid w:val="00BF3F24"/>
    <w:rsid w:val="00C114D5"/>
    <w:rsid w:val="00C34502"/>
    <w:rsid w:val="00C45AFA"/>
    <w:rsid w:val="00C56A03"/>
    <w:rsid w:val="00C56B1F"/>
    <w:rsid w:val="00C7470A"/>
    <w:rsid w:val="00CA22AF"/>
    <w:rsid w:val="00CC42E6"/>
    <w:rsid w:val="00CC568C"/>
    <w:rsid w:val="00CC58D2"/>
    <w:rsid w:val="00CD0268"/>
    <w:rsid w:val="00CE5079"/>
    <w:rsid w:val="00D52C6D"/>
    <w:rsid w:val="00D54855"/>
    <w:rsid w:val="00D61D72"/>
    <w:rsid w:val="00D64569"/>
    <w:rsid w:val="00D656D1"/>
    <w:rsid w:val="00D74755"/>
    <w:rsid w:val="00DC3BF8"/>
    <w:rsid w:val="00DE2416"/>
    <w:rsid w:val="00DE37AF"/>
    <w:rsid w:val="00DE5409"/>
    <w:rsid w:val="00E16E2E"/>
    <w:rsid w:val="00E41213"/>
    <w:rsid w:val="00E42E87"/>
    <w:rsid w:val="00E61D9E"/>
    <w:rsid w:val="00E62EF0"/>
    <w:rsid w:val="00E66BAD"/>
    <w:rsid w:val="00E758A6"/>
    <w:rsid w:val="00E8632D"/>
    <w:rsid w:val="00E92518"/>
    <w:rsid w:val="00EC0449"/>
    <w:rsid w:val="00EC5F84"/>
    <w:rsid w:val="00ED0E3A"/>
    <w:rsid w:val="00ED128B"/>
    <w:rsid w:val="00F209A9"/>
    <w:rsid w:val="00F20C3D"/>
    <w:rsid w:val="00F31AEB"/>
    <w:rsid w:val="00F352E6"/>
    <w:rsid w:val="00F43667"/>
    <w:rsid w:val="00F622C3"/>
    <w:rsid w:val="00F67315"/>
    <w:rsid w:val="00F867CB"/>
    <w:rsid w:val="00F91724"/>
    <w:rsid w:val="00F92AEE"/>
    <w:rsid w:val="00FD3907"/>
    <w:rsid w:val="00FE4B89"/>
    <w:rsid w:val="00FF518C"/>
    <w:rsid w:val="00FF60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C038"/>
  <w15:docId w15:val="{1E1C70D5-75DD-4573-BAEA-CD83FCA7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Naslov1">
    <w:name w:val="heading 1"/>
    <w:basedOn w:val="Normal"/>
    <w:next w:val="Normal"/>
    <w:link w:val="Naslov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Naslov2">
    <w:name w:val="heading 2"/>
    <w:basedOn w:val="Normal"/>
    <w:next w:val="Normal"/>
    <w:link w:val="Naslov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Naslov3">
    <w:name w:val="heading 3"/>
    <w:basedOn w:val="Normal"/>
    <w:next w:val="Normal"/>
    <w:link w:val="Naslov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Naslov4">
    <w:name w:val="heading 4"/>
    <w:basedOn w:val="Normal"/>
    <w:next w:val="Normal"/>
    <w:link w:val="Naslov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Naslov5">
    <w:name w:val="heading 5"/>
    <w:basedOn w:val="Normal"/>
    <w:next w:val="Normal"/>
    <w:link w:val="Naslov5Char"/>
    <w:qFormat/>
    <w:rsid w:val="00E62EF0"/>
    <w:pPr>
      <w:keepNext/>
      <w:keepLines/>
      <w:jc w:val="left"/>
      <w:outlineLvl w:val="4"/>
    </w:pPr>
    <w:rPr>
      <w:b/>
      <w:sz w:val="26"/>
      <w:szCs w:val="26"/>
    </w:rPr>
  </w:style>
  <w:style w:type="paragraph" w:styleId="Naslov6">
    <w:name w:val="heading 6"/>
    <w:basedOn w:val="Normal"/>
    <w:next w:val="Normal"/>
    <w:link w:val="Naslov6Char"/>
    <w:qFormat/>
    <w:rsid w:val="00E62EF0"/>
    <w:pPr>
      <w:keepNext/>
      <w:keepLines/>
      <w:jc w:val="left"/>
      <w:outlineLvl w:val="5"/>
    </w:pPr>
    <w:rPr>
      <w:b/>
      <w:sz w:val="24"/>
      <w:szCs w:val="24"/>
    </w:rPr>
  </w:style>
  <w:style w:type="paragraph" w:styleId="Naslov7">
    <w:name w:val="heading 7"/>
    <w:basedOn w:val="Normal"/>
    <w:next w:val="Normal"/>
    <w:link w:val="Naslov7Char"/>
    <w:qFormat/>
    <w:rsid w:val="00E62EF0"/>
    <w:pPr>
      <w:keepNext/>
      <w:jc w:val="left"/>
      <w:outlineLvl w:val="6"/>
    </w:pPr>
    <w:rPr>
      <w:b/>
      <w:spacing w:val="24"/>
      <w:szCs w:val="22"/>
    </w:rPr>
  </w:style>
  <w:style w:type="paragraph" w:styleId="Naslov8">
    <w:name w:val="heading 8"/>
    <w:basedOn w:val="Normal6"/>
    <w:next w:val="Normal"/>
    <w:link w:val="Naslov8Char"/>
    <w:uiPriority w:val="9"/>
    <w:unhideWhenUsed/>
    <w:qFormat/>
    <w:rsid w:val="00E62EF0"/>
    <w:pPr>
      <w:keepNext/>
      <w:keepLines/>
      <w:ind w:left="0"/>
      <w:outlineLvl w:val="7"/>
    </w:pPr>
    <w:rPr>
      <w:b/>
    </w:rPr>
  </w:style>
  <w:style w:type="paragraph" w:styleId="Naslov9">
    <w:name w:val="heading 9"/>
    <w:basedOn w:val="Normal"/>
    <w:next w:val="Normal"/>
    <w:link w:val="Naslov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51B1A"/>
    <w:rPr>
      <w:rFonts w:ascii="Times New Roman" w:eastAsia="Times New Roman" w:hAnsi="Times New Roman" w:cs="Times New Roman"/>
      <w:b/>
      <w:spacing w:val="20"/>
      <w:sz w:val="32"/>
      <w:szCs w:val="32"/>
      <w:shd w:val="clear" w:color="auto" w:fill="E6E6E6"/>
      <w:lang w:val="sl-SI"/>
    </w:rPr>
  </w:style>
  <w:style w:type="character" w:customStyle="1" w:styleId="Naslov2Char">
    <w:name w:val="Naslov 2 Char"/>
    <w:basedOn w:val="Zadanifontodlomka"/>
    <w:link w:val="Naslov2"/>
    <w:rsid w:val="00E62EF0"/>
    <w:rPr>
      <w:rFonts w:ascii="Times New Roman" w:eastAsia="Times New Roman" w:hAnsi="Times New Roman" w:cs="Times New Roman"/>
      <w:b/>
      <w:spacing w:val="20"/>
      <w:sz w:val="30"/>
      <w:szCs w:val="30"/>
      <w:shd w:val="clear" w:color="auto" w:fill="E6E6E6"/>
      <w:lang w:val="sl-SI"/>
    </w:rPr>
  </w:style>
  <w:style w:type="character" w:customStyle="1" w:styleId="Naslov3Char">
    <w:name w:val="Naslov 3 Char"/>
    <w:basedOn w:val="Zadanifontodlomka"/>
    <w:link w:val="Naslov3"/>
    <w:rsid w:val="00FE4B89"/>
    <w:rPr>
      <w:rFonts w:ascii="Times New Roman" w:eastAsia="Times New Roman" w:hAnsi="Times New Roman" w:cs="Arial"/>
      <w:b/>
      <w:iCs/>
      <w:spacing w:val="20"/>
      <w:sz w:val="28"/>
      <w:szCs w:val="28"/>
      <w:shd w:val="clear" w:color="auto" w:fill="E6E6E6"/>
      <w:lang w:val="sl-SI"/>
    </w:rPr>
  </w:style>
  <w:style w:type="character" w:customStyle="1" w:styleId="Naslov4Char">
    <w:name w:val="Naslov 4 Char"/>
    <w:basedOn w:val="Zadanifontodlomka"/>
    <w:link w:val="Naslov4"/>
    <w:rsid w:val="00951B1A"/>
    <w:rPr>
      <w:rFonts w:ascii="Times New Roman" w:eastAsia="Times New Roman" w:hAnsi="Times New Roman" w:cs="Times New Roman"/>
      <w:b/>
      <w:bCs/>
      <w:sz w:val="28"/>
      <w:szCs w:val="28"/>
      <w:lang w:val="sl-SI"/>
    </w:rPr>
  </w:style>
  <w:style w:type="character" w:customStyle="1" w:styleId="Naslov5Char">
    <w:name w:val="Naslov 5 Char"/>
    <w:basedOn w:val="Zadanifontodlomka"/>
    <w:link w:val="Naslov5"/>
    <w:rsid w:val="00E62EF0"/>
    <w:rPr>
      <w:rFonts w:ascii="Times New Roman" w:eastAsia="Times New Roman" w:hAnsi="Times New Roman" w:cs="Times New Roman"/>
      <w:b/>
      <w:sz w:val="26"/>
      <w:szCs w:val="26"/>
      <w:lang w:val="sl-SI"/>
    </w:rPr>
  </w:style>
  <w:style w:type="character" w:customStyle="1" w:styleId="Naslov6Char">
    <w:name w:val="Naslov 6 Char"/>
    <w:basedOn w:val="Zadanifontodlomka"/>
    <w:link w:val="Naslov6"/>
    <w:rsid w:val="00E62EF0"/>
    <w:rPr>
      <w:rFonts w:ascii="Times New Roman" w:eastAsia="Times New Roman" w:hAnsi="Times New Roman" w:cs="Times New Roman"/>
      <w:b/>
      <w:sz w:val="24"/>
      <w:szCs w:val="24"/>
      <w:lang w:val="sl-SI"/>
    </w:rPr>
  </w:style>
  <w:style w:type="character" w:customStyle="1" w:styleId="Naslov7Char">
    <w:name w:val="Naslov 7 Char"/>
    <w:basedOn w:val="Zadanifontodlomka"/>
    <w:link w:val="Naslov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Zaglavlje">
    <w:name w:val="header"/>
    <w:basedOn w:val="Normal"/>
    <w:link w:val="ZaglavljeChar"/>
    <w:semiHidden/>
    <w:rsid w:val="00480C76"/>
    <w:pPr>
      <w:pBdr>
        <w:bottom w:val="single" w:sz="4" w:space="1" w:color="auto"/>
      </w:pBdr>
      <w:tabs>
        <w:tab w:val="center" w:pos="4536"/>
        <w:tab w:val="right" w:pos="9072"/>
      </w:tabs>
    </w:pPr>
    <w:rPr>
      <w:sz w:val="16"/>
    </w:rPr>
  </w:style>
  <w:style w:type="character" w:customStyle="1" w:styleId="ZaglavljeChar">
    <w:name w:val="Zaglavlje Char"/>
    <w:basedOn w:val="Zadanifontodlomka"/>
    <w:link w:val="Zaglavlje"/>
    <w:semiHidden/>
    <w:rsid w:val="00480C76"/>
    <w:rPr>
      <w:rFonts w:ascii="Times New Roman" w:eastAsia="Times New Roman" w:hAnsi="Times New Roman" w:cs="Times New Roman"/>
      <w:sz w:val="16"/>
      <w:szCs w:val="20"/>
      <w:lang w:val="sl-SI"/>
    </w:rPr>
  </w:style>
  <w:style w:type="paragraph" w:styleId="Podnoje">
    <w:name w:val="footer"/>
    <w:basedOn w:val="Normal"/>
    <w:link w:val="PodnojeChar"/>
    <w:uiPriority w:val="99"/>
    <w:rsid w:val="00480C76"/>
    <w:pPr>
      <w:pBdr>
        <w:top w:val="single" w:sz="4" w:space="1" w:color="auto"/>
      </w:pBdr>
      <w:tabs>
        <w:tab w:val="right" w:pos="9540"/>
      </w:tabs>
      <w:ind w:right="-21"/>
      <w:jc w:val="left"/>
    </w:pPr>
    <w:rPr>
      <w:sz w:val="20"/>
    </w:rPr>
  </w:style>
  <w:style w:type="character" w:customStyle="1" w:styleId="PodnojeChar">
    <w:name w:val="Podnožje Char"/>
    <w:basedOn w:val="Zadanifontodlomka"/>
    <w:link w:val="Podnoje"/>
    <w:uiPriority w:val="99"/>
    <w:rsid w:val="00480C76"/>
    <w:rPr>
      <w:rFonts w:ascii="Times New Roman" w:eastAsia="Times New Roman" w:hAnsi="Times New Roman" w:cs="Times New Roman"/>
      <w:sz w:val="20"/>
      <w:szCs w:val="20"/>
      <w:lang w:val="sl-SI"/>
    </w:rPr>
  </w:style>
  <w:style w:type="character" w:styleId="Brojstranice">
    <w:name w:val="page number"/>
    <w:basedOn w:val="Zadanifontodlomka"/>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Zadanifontodlomka"/>
    <w:link w:val="Normal3"/>
    <w:rsid w:val="00480C76"/>
    <w:rPr>
      <w:rFonts w:ascii="Times New Roman" w:eastAsia="Times New Roman" w:hAnsi="Times New Roman" w:cs="Times New Roman"/>
      <w:szCs w:val="20"/>
      <w:lang w:val="sl-SI"/>
    </w:rPr>
  </w:style>
  <w:style w:type="character" w:customStyle="1" w:styleId="Normal5Char">
    <w:name w:val="Normal 5 Char"/>
    <w:basedOn w:val="Zadanifontodlomka"/>
    <w:link w:val="Normal5"/>
    <w:rsid w:val="00480C76"/>
    <w:rPr>
      <w:rFonts w:ascii="Times New Roman" w:eastAsia="Times New Roman" w:hAnsi="Times New Roman" w:cs="Times New Roman"/>
      <w:szCs w:val="20"/>
      <w:lang w:val="sl-SI"/>
    </w:rPr>
  </w:style>
  <w:style w:type="character" w:customStyle="1" w:styleId="Normal4Char">
    <w:name w:val="Normal 4 Char"/>
    <w:basedOn w:val="Zadanifontodlomka"/>
    <w:link w:val="Normal4"/>
    <w:rsid w:val="00480C76"/>
    <w:rPr>
      <w:rFonts w:ascii="Times New Roman" w:eastAsia="Times New Roman" w:hAnsi="Times New Roman" w:cs="Times New Roman"/>
      <w:szCs w:val="20"/>
      <w:lang w:val="sl-SI"/>
    </w:rPr>
  </w:style>
  <w:style w:type="character" w:styleId="Istaknuto">
    <w:name w:val="Emphasis"/>
    <w:basedOn w:val="Zadanifontodlomka"/>
    <w:qFormat/>
    <w:rsid w:val="00480C76"/>
    <w:rPr>
      <w:b/>
      <w:bCs/>
      <w:i w:val="0"/>
      <w:iCs w:val="0"/>
    </w:rPr>
  </w:style>
  <w:style w:type="character" w:styleId="Naglaeno">
    <w:name w:val="Strong"/>
    <w:basedOn w:val="Zadanifontodlomka"/>
    <w:qFormat/>
    <w:rsid w:val="00480C76"/>
    <w:rPr>
      <w:b/>
      <w:bCs/>
    </w:rPr>
  </w:style>
  <w:style w:type="character" w:styleId="Hiperveza">
    <w:name w:val="Hyperlink"/>
    <w:basedOn w:val="Zadanifontodlomka"/>
    <w:rsid w:val="00480C76"/>
    <w:rPr>
      <w:color w:val="0000FF"/>
      <w:u w:val="single"/>
    </w:rPr>
  </w:style>
  <w:style w:type="table" w:styleId="Reetkatablice">
    <w:name w:val="Table Grid"/>
    <w:basedOn w:val="Obinatablica"/>
    <w:uiPriority w:val="39"/>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Zadanifontodlomka"/>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Naslov8Char">
    <w:name w:val="Naslov 8 Char"/>
    <w:basedOn w:val="Zadanifontodlomka"/>
    <w:link w:val="Naslov8"/>
    <w:uiPriority w:val="9"/>
    <w:rsid w:val="00E62EF0"/>
    <w:rPr>
      <w:rFonts w:ascii="Times New Roman" w:eastAsia="Times New Roman" w:hAnsi="Times New Roman" w:cs="Times New Roman"/>
      <w:b/>
      <w:szCs w:val="20"/>
      <w:lang w:val="sl-SI"/>
    </w:rPr>
  </w:style>
  <w:style w:type="character" w:customStyle="1" w:styleId="Naslov9Char">
    <w:name w:val="Naslov 9 Char"/>
    <w:basedOn w:val="Zadanifontodlomka"/>
    <w:link w:val="Naslov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Obinatablica"/>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Obinatablica"/>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 w:type="character" w:styleId="Referencakomentara">
    <w:name w:val="annotation reference"/>
    <w:basedOn w:val="Zadanifontodlomka"/>
    <w:uiPriority w:val="99"/>
    <w:semiHidden/>
    <w:unhideWhenUsed/>
    <w:rsid w:val="00261075"/>
    <w:rPr>
      <w:sz w:val="16"/>
      <w:szCs w:val="16"/>
    </w:rPr>
  </w:style>
  <w:style w:type="paragraph" w:styleId="Tekstkomentara">
    <w:name w:val="annotation text"/>
    <w:basedOn w:val="Normal"/>
    <w:link w:val="TekstkomentaraChar"/>
    <w:uiPriority w:val="99"/>
    <w:semiHidden/>
    <w:unhideWhenUsed/>
    <w:rsid w:val="00261075"/>
    <w:rPr>
      <w:sz w:val="20"/>
    </w:rPr>
  </w:style>
  <w:style w:type="character" w:customStyle="1" w:styleId="TekstkomentaraChar">
    <w:name w:val="Tekst komentara Char"/>
    <w:basedOn w:val="Zadanifontodlomka"/>
    <w:link w:val="Tekstkomentara"/>
    <w:uiPriority w:val="99"/>
    <w:semiHidden/>
    <w:rsid w:val="00261075"/>
    <w:rPr>
      <w:rFonts w:ascii="Times New Roman" w:eastAsia="Times New Roman" w:hAnsi="Times New Roman" w:cs="Times New Roman"/>
      <w:sz w:val="20"/>
      <w:szCs w:val="20"/>
      <w:lang w:val="sl-SI"/>
    </w:rPr>
  </w:style>
  <w:style w:type="paragraph" w:styleId="Predmetkomentara">
    <w:name w:val="annotation subject"/>
    <w:basedOn w:val="Tekstkomentara"/>
    <w:next w:val="Tekstkomentara"/>
    <w:link w:val="PredmetkomentaraChar"/>
    <w:uiPriority w:val="99"/>
    <w:semiHidden/>
    <w:unhideWhenUsed/>
    <w:rsid w:val="00261075"/>
    <w:rPr>
      <w:b/>
      <w:bCs/>
    </w:rPr>
  </w:style>
  <w:style w:type="character" w:customStyle="1" w:styleId="PredmetkomentaraChar">
    <w:name w:val="Predmet komentara Char"/>
    <w:basedOn w:val="TekstkomentaraChar"/>
    <w:link w:val="Predmetkomentara"/>
    <w:uiPriority w:val="99"/>
    <w:semiHidden/>
    <w:rsid w:val="00261075"/>
    <w:rPr>
      <w:rFonts w:ascii="Times New Roman" w:eastAsia="Times New Roman" w:hAnsi="Times New Roman" w:cs="Times New Roman"/>
      <w:b/>
      <w:bCs/>
      <w:sz w:val="20"/>
      <w:szCs w:val="20"/>
      <w:lang w:val="sl-SI"/>
    </w:rPr>
  </w:style>
  <w:style w:type="paragraph" w:styleId="Tekstbalonia">
    <w:name w:val="Balloon Text"/>
    <w:basedOn w:val="Normal"/>
    <w:link w:val="TekstbaloniaChar"/>
    <w:uiPriority w:val="99"/>
    <w:semiHidden/>
    <w:unhideWhenUsed/>
    <w:rsid w:val="00261075"/>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61075"/>
    <w:rPr>
      <w:rFonts w:ascii="Segoe UI" w:eastAsia="Times New Roman" w:hAnsi="Segoe UI" w:cs="Segoe UI"/>
      <w:sz w:val="18"/>
      <w:szCs w:val="18"/>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983D1-18EB-4A6E-ABDB-1319BB1A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6040</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MPRH</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Marasović</dc:creator>
  <cp:lastModifiedBy>Martina Berek</cp:lastModifiedBy>
  <cp:revision>2</cp:revision>
  <cp:lastPrinted>2023-01-10T09:32:00Z</cp:lastPrinted>
  <dcterms:created xsi:type="dcterms:W3CDTF">2026-04-01T06:54:00Z</dcterms:created>
  <dcterms:modified xsi:type="dcterms:W3CDTF">2026-04-01T06:54:00Z</dcterms:modified>
</cp:coreProperties>
</file>