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0A7D" w14:textId="77777777" w:rsidR="00301AA9" w:rsidRDefault="00301AA9" w:rsidP="00301AA9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Naručitelj je odgovorio na zahtjev gospodarskog subjekta za dodatnim informacijama ili objašnjenjima.</w:t>
      </w:r>
    </w:p>
    <w:p w14:paraId="458E5179" w14:textId="77777777" w:rsidR="00301AA9" w:rsidRDefault="00301AA9" w:rsidP="00301AA9"/>
    <w:p w14:paraId="7FD876BB" w14:textId="77777777" w:rsidR="00301AA9" w:rsidRDefault="00301AA9" w:rsidP="00301AA9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POSTUPAK:    Najam višenamjenskih fotokopirnih uređaja EV_JN 09/26</w:t>
      </w:r>
    </w:p>
    <w:p w14:paraId="2E4FD3BA" w14:textId="77777777" w:rsidR="00301AA9" w:rsidRDefault="00301AA9" w:rsidP="00301AA9">
      <w:pPr>
        <w:rPr>
          <w:rFonts w:ascii="Segoe UI" w:hAnsi="Segoe UI" w:cs="Segoe UI"/>
          <w:sz w:val="24"/>
          <w:szCs w:val="24"/>
        </w:rPr>
      </w:pPr>
    </w:p>
    <w:p w14:paraId="477A60B5" w14:textId="77777777" w:rsidR="00301AA9" w:rsidRDefault="00301AA9" w:rsidP="00301AA9">
      <w:pPr>
        <w:rPr>
          <w:rFonts w:ascii="Segoe UI" w:hAnsi="Segoe UI" w:cs="Segoe UI"/>
        </w:rPr>
      </w:pPr>
      <w:r>
        <w:rPr>
          <w:rFonts w:ascii="Segoe UI" w:hAnsi="Segoe UI" w:cs="Segoe UI"/>
          <w:sz w:val="24"/>
          <w:szCs w:val="24"/>
        </w:rPr>
        <w:t>NARUČITELJ:</w:t>
      </w:r>
      <w:r>
        <w:t xml:space="preserve">     </w:t>
      </w:r>
      <w:r>
        <w:rPr>
          <w:rFonts w:ascii="Segoe UI" w:hAnsi="Segoe UI" w:cs="Segoe UI"/>
          <w:sz w:val="24"/>
          <w:szCs w:val="24"/>
        </w:rPr>
        <w:t>Županijsko državno odvjetništvo u Zagrebu</w:t>
      </w:r>
    </w:p>
    <w:p w14:paraId="3CDCED4D" w14:textId="77777777" w:rsidR="00301AA9" w:rsidRDefault="00301AA9" w:rsidP="00301AA9">
      <w:pPr>
        <w:rPr>
          <w:rFonts w:ascii="Segoe UI" w:hAnsi="Segoe UI" w:cs="Segoe UI"/>
        </w:rPr>
      </w:pPr>
    </w:p>
    <w:tbl>
      <w:tblPr>
        <w:tblW w:w="5000" w:type="pct"/>
        <w:tblCellSpacing w:w="0" w:type="dxa"/>
        <w:tblBorders>
          <w:top w:val="single" w:sz="48" w:space="0" w:color="FFFFFF"/>
          <w:bottom w:val="single" w:sz="4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5596"/>
      </w:tblGrid>
      <w:tr w:rsidR="00301AA9" w14:paraId="6C2AA0E5" w14:textId="77777777" w:rsidTr="00301AA9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886BE2" w14:textId="77777777" w:rsidR="00301AA9" w:rsidRDefault="00301AA9">
            <w:pPr>
              <w:jc w:val="center"/>
              <w:rPr>
                <w:rFonts w:ascii="Segoe UI" w:hAnsi="Segoe UI" w:cs="Segoe UI"/>
                <w:b/>
                <w:bCs/>
                <w:caps/>
                <w:color w:val="333333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Segoe UI" w:hAnsi="Segoe UI" w:cs="Segoe UI"/>
                <w:b/>
                <w:bCs/>
                <w:caps/>
                <w:color w:val="333333"/>
                <w:sz w:val="24"/>
                <w:szCs w:val="24"/>
                <w:lang w:eastAsia="hr-HR"/>
                <w14:ligatures w14:val="none"/>
              </w:rPr>
              <w:t>Tekst pitanja ili zahtjeva.</w:t>
            </w:r>
          </w:p>
        </w:tc>
        <w:tc>
          <w:tcPr>
            <w:tcW w:w="0" w:type="auto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F6676" w14:textId="77777777" w:rsidR="00301AA9" w:rsidRDefault="00301AA9">
            <w:pPr>
              <w:jc w:val="center"/>
              <w:rPr>
                <w:rFonts w:ascii="Segoe UI" w:hAnsi="Segoe UI" w:cs="Segoe UI"/>
                <w:b/>
                <w:bCs/>
                <w:caps/>
                <w:color w:val="333333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Segoe UI" w:hAnsi="Segoe UI" w:cs="Segoe UI"/>
                <w:b/>
                <w:bCs/>
                <w:caps/>
                <w:color w:val="333333"/>
                <w:sz w:val="24"/>
                <w:szCs w:val="24"/>
                <w:lang w:eastAsia="hr-HR"/>
                <w14:ligatures w14:val="none"/>
              </w:rPr>
              <w:t>Odgovor / objašnjenje</w:t>
            </w:r>
          </w:p>
        </w:tc>
      </w:tr>
      <w:tr w:rsidR="00301AA9" w14:paraId="3A419191" w14:textId="77777777" w:rsidTr="00301AA9">
        <w:trPr>
          <w:tblCellSpacing w:w="0" w:type="dxa"/>
        </w:trPr>
        <w:tc>
          <w:tcPr>
            <w:tcW w:w="0" w:type="auto"/>
            <w:tcBorders>
              <w:top w:val="nil"/>
              <w:left w:val="single" w:sz="48" w:space="0" w:color="FFFFFF"/>
              <w:bottom w:val="single" w:sz="8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B74D7" w14:textId="77777777" w:rsidR="00301AA9" w:rsidRDefault="00301AA9">
            <w:pP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  <w:t>Poštovani,</w:t>
            </w:r>
          </w:p>
          <w:p w14:paraId="476E3B7D" w14:textId="77777777" w:rsidR="00301AA9" w:rsidRDefault="00301AA9">
            <w:pP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</w:pPr>
          </w:p>
          <w:p w14:paraId="6AED0D03" w14:textId="77777777" w:rsidR="00301AA9" w:rsidRDefault="00301AA9">
            <w:pP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  <w:t>Molimo pojašnjenje vezano uz format unosa jedinične cijene u stavkama dodatnog ispisa.</w:t>
            </w:r>
          </w:p>
          <w:p w14:paraId="23192DCB" w14:textId="77777777" w:rsidR="00301AA9" w:rsidRDefault="00301AA9">
            <w:pP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  <w:t>Sustav omogućuje unos više decimalnih mjesta, ali prikaz zaokružuje na dvije decimale (0,00 €), dok se u ukupnom izračunu koristi stvarna unesena vrijednost.</w:t>
            </w:r>
          </w:p>
          <w:p w14:paraId="17FE8869" w14:textId="77777777" w:rsidR="00301AA9" w:rsidRDefault="00301AA9">
            <w:pP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  <w:t>Da li naručitelj prihvaća unos cijene s više od dvije decimale ako je obračun ispravan u ukupnoj vrijednosti ponude?</w:t>
            </w:r>
          </w:p>
        </w:tc>
        <w:tc>
          <w:tcPr>
            <w:tcW w:w="0" w:type="auto"/>
            <w:tcBorders>
              <w:top w:val="nil"/>
              <w:left w:val="single" w:sz="48" w:space="0" w:color="FFFFFF"/>
              <w:bottom w:val="single" w:sz="8" w:space="0" w:color="DDDDDD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3D872" w14:textId="77777777" w:rsidR="00301AA9" w:rsidRDefault="00301AA9">
            <w:pP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  <w:t>Dokumentacijom o nabavi u točki F.  propisano je kako je Ponuditelj obvezan u Troškovnik upisati jedinične cijene za svaku stavku, a ukupne cijene za svaku stavku te cijenu ponude bez PDV-a, PDV i ukupnu cijenu ponude s PDV-om se u troškovniku popunjavaju automatski. Također u točki D. navedeno je kako Ponuditelj ne smije mijenjati, ispravljati, dopunjavati ili brisati ili na bilo koji drugi način intervenirati u tekst koji je dao Naručitelj u Dokumentaciji o nabavi i Troškovniku.</w:t>
            </w:r>
          </w:p>
          <w:p w14:paraId="66535F02" w14:textId="77777777" w:rsidR="00301AA9" w:rsidRDefault="00301AA9">
            <w:pP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</w:pPr>
          </w:p>
          <w:p w14:paraId="2770C883" w14:textId="77777777" w:rsidR="00301AA9" w:rsidRDefault="00301AA9">
            <w:pP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  <w:t xml:space="preserve">Kako na niti jednom drugom mjestu u dokumentaciji o nabavi nije utvrđeno da se jedinične cijene zaokružuju na dvije decimale a ukupna se cijena računa i kada se pod jediničnu cijenu unese vrijednost sa više decimalnih mjesta te je time ostalo nenarušeno načelo tržišnog natjecanja, Naručitelj će prihvatiti troškovnike sa izvršenim unosom jedinične cijene s više od dvije decimale obzirom da su uključene i računski ispravne u obračun ukupne cijene ponude. </w:t>
            </w:r>
          </w:p>
          <w:p w14:paraId="2CC91BF0" w14:textId="77777777" w:rsidR="00301AA9" w:rsidRDefault="00301AA9">
            <w:pPr>
              <w:rPr>
                <w:rFonts w:ascii="Segoe UI" w:hAnsi="Segoe UI" w:cs="Segoe UI"/>
                <w:color w:val="333333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007A372E" w14:textId="77777777" w:rsidR="00301AA9" w:rsidRDefault="00301AA9" w:rsidP="00301AA9"/>
    <w:p w14:paraId="78235B51" w14:textId="77777777" w:rsidR="00301AA9" w:rsidRDefault="00301AA9"/>
    <w:sectPr w:rsidR="0030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A9"/>
    <w:rsid w:val="00301AA9"/>
    <w:rsid w:val="007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1F33"/>
  <w15:chartTrackingRefBased/>
  <w15:docId w15:val="{8E6E9E50-D5AA-4FC8-BB72-C5DD91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A9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301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1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1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1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1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1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1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1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1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1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1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1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1A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1A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1A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1A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1A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1A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1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1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1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1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301A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1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301A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1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1A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1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>MPU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Vrdoljak</dc:creator>
  <cp:keywords/>
  <dc:description/>
  <cp:lastModifiedBy>Tomislav Vrdoljak</cp:lastModifiedBy>
  <cp:revision>1</cp:revision>
  <dcterms:created xsi:type="dcterms:W3CDTF">2026-06-19T08:07:00Z</dcterms:created>
  <dcterms:modified xsi:type="dcterms:W3CDTF">2026-06-19T08:08:00Z</dcterms:modified>
</cp:coreProperties>
</file>