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B7" w:rsidRDefault="003A0AB7" w:rsidP="00D72ED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r-HR"/>
        </w:rPr>
      </w:pPr>
      <w:bookmarkStart w:id="0" w:name="_GoBack"/>
      <w:r w:rsidRPr="003A0AB7">
        <w:rPr>
          <w:rFonts w:eastAsia="Times New Roman" w:cstheme="minorHAnsi"/>
          <w:b/>
          <w:bCs/>
          <w:sz w:val="24"/>
          <w:szCs w:val="24"/>
          <w:lang w:eastAsia="hr-HR"/>
        </w:rPr>
        <w:t>OBRAZLOŽENJE OPĆEG DIJELA POLUGODIŠNJEG IZVJEŠTAJA O IZVRŠENJU FINANCIJSKOG PLANA ZA PRVO POLUGODIŠTE 2026. GODINE</w:t>
      </w:r>
    </w:p>
    <w:bookmarkEnd w:id="0"/>
    <w:p w:rsidR="00D72EDF" w:rsidRPr="003A0AB7" w:rsidRDefault="00D72EDF" w:rsidP="00D72ED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:rsidR="003A0AB7" w:rsidRPr="007469B9" w:rsidRDefault="003A0AB7" w:rsidP="00D72EDF">
      <w:pPr>
        <w:pStyle w:val="Bezproreda"/>
        <w:rPr>
          <w:sz w:val="24"/>
          <w:szCs w:val="24"/>
          <w:lang w:eastAsia="hr-HR"/>
        </w:rPr>
      </w:pPr>
      <w:r w:rsidRPr="007469B9">
        <w:rPr>
          <w:b/>
          <w:bCs/>
          <w:sz w:val="24"/>
          <w:szCs w:val="24"/>
          <w:lang w:eastAsia="hr-HR"/>
        </w:rPr>
        <w:t>Naziv obveznika:</w:t>
      </w:r>
      <w:r w:rsidRPr="007469B9">
        <w:rPr>
          <w:sz w:val="24"/>
          <w:szCs w:val="24"/>
          <w:lang w:eastAsia="hr-HR"/>
        </w:rPr>
        <w:t xml:space="preserve"> Županijsko državno odvjetništvo u Puli-Pola</w:t>
      </w:r>
    </w:p>
    <w:p w:rsidR="003A0AB7" w:rsidRPr="007469B9" w:rsidRDefault="003A0AB7" w:rsidP="00D72EDF">
      <w:pPr>
        <w:pStyle w:val="Bezproreda"/>
        <w:rPr>
          <w:sz w:val="24"/>
          <w:szCs w:val="24"/>
          <w:lang w:eastAsia="hr-HR"/>
        </w:rPr>
      </w:pPr>
      <w:r w:rsidRPr="007469B9">
        <w:rPr>
          <w:b/>
          <w:bCs/>
          <w:sz w:val="24"/>
          <w:szCs w:val="24"/>
          <w:lang w:eastAsia="hr-HR"/>
        </w:rPr>
        <w:t>Adresa sjedišta:</w:t>
      </w:r>
      <w:r w:rsidRPr="007469B9">
        <w:rPr>
          <w:sz w:val="24"/>
          <w:szCs w:val="24"/>
          <w:lang w:eastAsia="hr-HR"/>
        </w:rPr>
        <w:t xml:space="preserve"> Rovinjska 2A, 52100 Pula</w:t>
      </w:r>
    </w:p>
    <w:p w:rsidR="003A0AB7" w:rsidRPr="007469B9" w:rsidRDefault="003A0AB7" w:rsidP="00D72EDF">
      <w:pPr>
        <w:pStyle w:val="Bezproreda"/>
        <w:rPr>
          <w:sz w:val="24"/>
          <w:szCs w:val="24"/>
          <w:lang w:eastAsia="hr-HR"/>
        </w:rPr>
      </w:pPr>
      <w:r w:rsidRPr="007469B9">
        <w:rPr>
          <w:b/>
          <w:bCs/>
          <w:sz w:val="24"/>
          <w:szCs w:val="24"/>
          <w:lang w:eastAsia="hr-HR"/>
        </w:rPr>
        <w:t>Razina:</w:t>
      </w:r>
      <w:r w:rsidRPr="007469B9">
        <w:rPr>
          <w:sz w:val="24"/>
          <w:szCs w:val="24"/>
          <w:lang w:eastAsia="hr-HR"/>
        </w:rPr>
        <w:t xml:space="preserve"> 11</w:t>
      </w:r>
    </w:p>
    <w:p w:rsidR="003A0AB7" w:rsidRPr="007469B9" w:rsidRDefault="003A0AB7" w:rsidP="00D72EDF">
      <w:pPr>
        <w:pStyle w:val="Bezproreda"/>
        <w:rPr>
          <w:sz w:val="24"/>
          <w:szCs w:val="24"/>
          <w:lang w:eastAsia="hr-HR"/>
        </w:rPr>
      </w:pPr>
      <w:r w:rsidRPr="007469B9">
        <w:rPr>
          <w:b/>
          <w:bCs/>
          <w:sz w:val="24"/>
          <w:szCs w:val="24"/>
          <w:lang w:eastAsia="hr-HR"/>
        </w:rPr>
        <w:t>Razdjel:</w:t>
      </w:r>
      <w:r w:rsidRPr="007469B9">
        <w:rPr>
          <w:sz w:val="24"/>
          <w:szCs w:val="24"/>
          <w:lang w:eastAsia="hr-HR"/>
        </w:rPr>
        <w:t xml:space="preserve"> 109</w:t>
      </w:r>
    </w:p>
    <w:p w:rsidR="003A0AB7" w:rsidRPr="007469B9" w:rsidRDefault="003A0AB7" w:rsidP="00D72EDF">
      <w:pPr>
        <w:pStyle w:val="Bezproreda"/>
        <w:rPr>
          <w:sz w:val="24"/>
          <w:szCs w:val="24"/>
          <w:lang w:eastAsia="hr-HR"/>
        </w:rPr>
      </w:pPr>
      <w:r w:rsidRPr="007469B9">
        <w:rPr>
          <w:b/>
          <w:bCs/>
          <w:sz w:val="24"/>
          <w:szCs w:val="24"/>
          <w:lang w:eastAsia="hr-HR"/>
        </w:rPr>
        <w:t>RKP:</w:t>
      </w:r>
      <w:r w:rsidRPr="007469B9">
        <w:rPr>
          <w:sz w:val="24"/>
          <w:szCs w:val="24"/>
          <w:lang w:eastAsia="hr-HR"/>
        </w:rPr>
        <w:t xml:space="preserve"> 3646</w:t>
      </w:r>
    </w:p>
    <w:p w:rsidR="003A0AB7" w:rsidRPr="007469B9" w:rsidRDefault="003A0AB7" w:rsidP="00D72EDF">
      <w:pPr>
        <w:pStyle w:val="Bezproreda"/>
        <w:rPr>
          <w:sz w:val="24"/>
          <w:szCs w:val="24"/>
          <w:lang w:eastAsia="hr-HR"/>
        </w:rPr>
      </w:pPr>
      <w:r w:rsidRPr="007469B9">
        <w:rPr>
          <w:b/>
          <w:bCs/>
          <w:sz w:val="24"/>
          <w:szCs w:val="24"/>
          <w:lang w:eastAsia="hr-HR"/>
        </w:rPr>
        <w:t>Matični broj:</w:t>
      </w:r>
      <w:r w:rsidRPr="007469B9">
        <w:rPr>
          <w:sz w:val="24"/>
          <w:szCs w:val="24"/>
          <w:lang w:eastAsia="hr-HR"/>
        </w:rPr>
        <w:t xml:space="preserve"> 03204154</w:t>
      </w:r>
    </w:p>
    <w:p w:rsidR="003A0AB7" w:rsidRPr="007469B9" w:rsidRDefault="003A0AB7" w:rsidP="00D72EDF">
      <w:pPr>
        <w:pStyle w:val="Bezproreda"/>
        <w:rPr>
          <w:sz w:val="24"/>
          <w:szCs w:val="24"/>
          <w:lang w:eastAsia="hr-HR"/>
        </w:rPr>
      </w:pPr>
      <w:r w:rsidRPr="007469B9">
        <w:rPr>
          <w:b/>
          <w:bCs/>
          <w:sz w:val="24"/>
          <w:szCs w:val="24"/>
          <w:lang w:eastAsia="hr-HR"/>
        </w:rPr>
        <w:t>OIB:</w:t>
      </w:r>
      <w:r w:rsidRPr="007469B9">
        <w:rPr>
          <w:sz w:val="24"/>
          <w:szCs w:val="24"/>
          <w:lang w:eastAsia="hr-HR"/>
        </w:rPr>
        <w:t xml:space="preserve"> 93993757343</w:t>
      </w:r>
    </w:p>
    <w:p w:rsidR="003A0AB7" w:rsidRPr="007469B9" w:rsidRDefault="003A0AB7" w:rsidP="00D72EDF">
      <w:pPr>
        <w:pStyle w:val="Bezproreda"/>
        <w:rPr>
          <w:sz w:val="24"/>
          <w:szCs w:val="24"/>
          <w:lang w:eastAsia="hr-HR"/>
        </w:rPr>
      </w:pPr>
      <w:r w:rsidRPr="007469B9">
        <w:rPr>
          <w:b/>
          <w:bCs/>
          <w:sz w:val="24"/>
          <w:szCs w:val="24"/>
          <w:lang w:eastAsia="hr-HR"/>
        </w:rPr>
        <w:t>Šifra djelatnosti:</w:t>
      </w:r>
      <w:r w:rsidRPr="007469B9">
        <w:rPr>
          <w:sz w:val="24"/>
          <w:szCs w:val="24"/>
          <w:lang w:eastAsia="hr-HR"/>
        </w:rPr>
        <w:t xml:space="preserve"> 8423</w:t>
      </w:r>
    </w:p>
    <w:p w:rsidR="00D72EDF" w:rsidRPr="007469B9" w:rsidRDefault="00D72EDF" w:rsidP="00D72EDF">
      <w:pPr>
        <w:pStyle w:val="Bezproreda"/>
        <w:rPr>
          <w:sz w:val="24"/>
          <w:szCs w:val="24"/>
          <w:lang w:eastAsia="hr-HR"/>
        </w:rPr>
      </w:pPr>
    </w:p>
    <w:p w:rsidR="003A0AB7" w:rsidRPr="003A0AB7" w:rsidRDefault="003A0AB7" w:rsidP="003A0AB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A0AB7">
        <w:rPr>
          <w:rFonts w:eastAsia="Times New Roman" w:cstheme="minorHAnsi"/>
          <w:sz w:val="24"/>
          <w:szCs w:val="24"/>
          <w:lang w:eastAsia="hr-HR"/>
        </w:rPr>
        <w:t>Temeljem Pravilnika o polugodišnjem i godišnjem Izvještaju o izvršenju proračuna i financijskog plana (NN-85/2023) dostavljamo obrazloženje općeg dijela polugodišnjeg izvještaja o izvršenju proračuna i financijskog plana kako slijedi:</w:t>
      </w:r>
    </w:p>
    <w:p w:rsidR="003A0AB7" w:rsidRPr="003A0AB7" w:rsidRDefault="003A0AB7" w:rsidP="003A0AB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A0AB7">
        <w:rPr>
          <w:rFonts w:eastAsia="Times New Roman" w:cstheme="minorHAnsi"/>
          <w:sz w:val="24"/>
          <w:szCs w:val="24"/>
          <w:lang w:eastAsia="hr-HR"/>
        </w:rPr>
        <w:t xml:space="preserve">U razdoblju od 01. siječnja do 30. lipnja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2026. godine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financijski plan za 2026. godinu izvršen je u ukupno ostvarenim prihodima/rashodima u iznosu od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898.047,04 eura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, što predstavlja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47,94%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godišnjeg (tekućeg) plana.</w:t>
      </w:r>
    </w:p>
    <w:p w:rsidR="003A0AB7" w:rsidRPr="003A0AB7" w:rsidRDefault="003A0AB7" w:rsidP="003A0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A0AB7">
        <w:rPr>
          <w:rFonts w:eastAsia="Times New Roman" w:cstheme="minorHAnsi"/>
          <w:bCs/>
          <w:sz w:val="24"/>
          <w:szCs w:val="24"/>
          <w:lang w:eastAsia="hr-HR"/>
        </w:rPr>
        <w:t>Sažetak računa prihoda i rashoda i računa financiranja: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Ostvarenje ukupnih prihoda i izvršenje ukupnih rashoda iznosi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47,94%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u odnosu na tekući plan za 2026. godinu.</w:t>
      </w:r>
    </w:p>
    <w:p w:rsidR="003A0AB7" w:rsidRPr="003A0AB7" w:rsidRDefault="003A0AB7" w:rsidP="003A0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A0AB7">
        <w:rPr>
          <w:rFonts w:eastAsia="Times New Roman" w:cstheme="minorHAnsi"/>
          <w:bCs/>
          <w:sz w:val="24"/>
          <w:szCs w:val="24"/>
          <w:lang w:eastAsia="hr-HR"/>
        </w:rPr>
        <w:t>Račun prihoda i rashoda prema ekonomskoj klasifikaciji:</w:t>
      </w:r>
    </w:p>
    <w:p w:rsidR="003A0AB7" w:rsidRPr="003A0AB7" w:rsidRDefault="003A0AB7" w:rsidP="003A0A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A0AB7">
        <w:rPr>
          <w:rFonts w:eastAsia="Times New Roman" w:cstheme="minorHAnsi"/>
          <w:bCs/>
          <w:sz w:val="24"/>
          <w:szCs w:val="24"/>
          <w:lang w:eastAsia="hr-HR"/>
        </w:rPr>
        <w:t>Prihodi poslovanja (Skupina 6):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Ostvareni su u iznosu od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898.047,04 eura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47,94%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tekućeg plana).</w:t>
      </w:r>
    </w:p>
    <w:p w:rsidR="003A0AB7" w:rsidRPr="003A0AB7" w:rsidRDefault="003A0AB7" w:rsidP="003A0A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A0AB7">
        <w:rPr>
          <w:rFonts w:eastAsia="Times New Roman" w:cstheme="minorHAnsi"/>
          <w:bCs/>
          <w:sz w:val="24"/>
          <w:szCs w:val="24"/>
          <w:lang w:eastAsia="hr-HR"/>
        </w:rPr>
        <w:t>Rashodi poslovanja (Skupina 3):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Izvršeni su u iznosu od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891.497,04 eura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48,15%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tekućeg plana).</w:t>
      </w:r>
    </w:p>
    <w:p w:rsidR="003A0AB7" w:rsidRPr="003A0AB7" w:rsidRDefault="003A0AB7" w:rsidP="003A0A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A0AB7">
        <w:rPr>
          <w:rFonts w:eastAsia="Times New Roman" w:cstheme="minorHAnsi"/>
          <w:bCs/>
          <w:sz w:val="24"/>
          <w:szCs w:val="24"/>
          <w:lang w:eastAsia="hr-HR"/>
        </w:rPr>
        <w:t>Rashodi za nabavu nefinancijske imovine (Skupina 4):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Izvršeni su u iznosu od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6.550,00 eura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29,77%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tekućeg plana), a odnose se na ulaganja u prijevozna sredstva (cestovni promet).</w:t>
      </w:r>
    </w:p>
    <w:p w:rsidR="003A0AB7" w:rsidRPr="003A0AB7" w:rsidRDefault="003A0AB7" w:rsidP="003A0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A0AB7">
        <w:rPr>
          <w:rFonts w:eastAsia="Times New Roman" w:cstheme="minorHAnsi"/>
          <w:bCs/>
          <w:sz w:val="24"/>
          <w:szCs w:val="24"/>
          <w:lang w:eastAsia="hr-HR"/>
        </w:rPr>
        <w:t>Analiza značajnijih stavki rashoda poslovanja:</w:t>
      </w:r>
    </w:p>
    <w:p w:rsidR="003A0AB7" w:rsidRPr="003A0AB7" w:rsidRDefault="003A0AB7" w:rsidP="003A0A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A0AB7">
        <w:rPr>
          <w:rFonts w:eastAsia="Times New Roman" w:cstheme="minorHAnsi"/>
          <w:bCs/>
          <w:sz w:val="24"/>
          <w:szCs w:val="24"/>
          <w:lang w:eastAsia="hr-HR"/>
        </w:rPr>
        <w:t>Rashodi za zaposlene (Skupina 31):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Bilježe indeks izvršenja od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52,43%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u odnosu na tekući plan (izvršeno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737.605,57 eura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), prvenstveno zbog dinamike isplata plaća i pripadajućih doprinosa na plaće (doprinos za zdravstveno osiguranje bilježi indeks od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64,36%</w:t>
      </w:r>
      <w:r w:rsidRPr="003A0AB7">
        <w:rPr>
          <w:rFonts w:eastAsia="Times New Roman" w:cstheme="minorHAnsi"/>
          <w:sz w:val="24"/>
          <w:szCs w:val="24"/>
          <w:lang w:eastAsia="hr-HR"/>
        </w:rPr>
        <w:t>).</w:t>
      </w:r>
    </w:p>
    <w:p w:rsidR="003A0AB7" w:rsidRPr="003A0AB7" w:rsidRDefault="003A0AB7" w:rsidP="003A0A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A0AB7">
        <w:rPr>
          <w:rFonts w:eastAsia="Times New Roman" w:cstheme="minorHAnsi"/>
          <w:bCs/>
          <w:sz w:val="24"/>
          <w:szCs w:val="24"/>
          <w:lang w:eastAsia="hr-HR"/>
        </w:rPr>
        <w:t>Materijalni rashodi (Skupina 32):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Izvršeni su u iznosu od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152.166,47 eura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, što čini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35,72%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tekućeg plana.</w:t>
      </w:r>
    </w:p>
    <w:p w:rsidR="00D72EDF" w:rsidRPr="007469B9" w:rsidRDefault="003A0AB7" w:rsidP="00D72ED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A0AB7">
        <w:rPr>
          <w:rFonts w:eastAsia="Times New Roman" w:cstheme="minorHAnsi"/>
          <w:bCs/>
          <w:sz w:val="24"/>
          <w:szCs w:val="24"/>
          <w:lang w:eastAsia="hr-HR"/>
        </w:rPr>
        <w:t>Intelektualne i osobne usluge (Podskupina 3237):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U prvih šest mjeseci 2026. godine, rashodi za intelektualne i osobne usluge (odvjetnici, javni bilježnici, vještaci, tumači i dr.) izvršeni su u iznosu od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72.000,00 eura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35,95%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tekućeg plana). Županijsko državno odvjetništvo u Puli-Pola brižljivo prati ove troškove, no napominje se da oni izravno ovise o stvarnim potrebama, složenosti i dinamici postupaka u pojedinim kaznenim, građanskim i upravnim predmetima te se rashodi iskazuju u skladu s dopuštenim limitima fiksno zadanog financijskog plana.</w:t>
      </w:r>
    </w:p>
    <w:p w:rsidR="007469B9" w:rsidRPr="007469B9" w:rsidRDefault="007469B9" w:rsidP="00746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69B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5523789" cy="2989751"/>
            <wp:effectExtent l="0" t="0" r="1270" b="1270"/>
            <wp:docPr id="2" name="Slika 2" descr="C:\Users\mvitasovic1\AppData\Local\Packages\Microsoft.Windows.Photos_8wekyb3d8bbwe\TempState\ShareServiceTempFolder\Code_Generated_Image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vitasovic1\AppData\Local\Packages\Microsoft.Windows.Photos_8wekyb3d8bbwe\TempState\ShareServiceTempFolder\Code_Generated_Image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550" cy="301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EDF" w:rsidRPr="003A0AB7" w:rsidRDefault="00D72EDF" w:rsidP="00D72ED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3A0AB7" w:rsidRPr="003A0AB7" w:rsidRDefault="003A0AB7" w:rsidP="003A0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A0AB7">
        <w:rPr>
          <w:rFonts w:eastAsia="Times New Roman" w:cstheme="minorHAnsi"/>
          <w:bCs/>
          <w:sz w:val="24"/>
          <w:szCs w:val="24"/>
          <w:lang w:eastAsia="hr-HR"/>
        </w:rPr>
        <w:t>Izvještaj o prihodima i rashodima prema izvorima financiranja: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Županijsko državno odvjetništvo u Puli-Pola ostvaruje prihode iz državnog proračuna, odnosno nadležnog Ministarstva pravosuđa, uprave i digitalne transformacije RH (ranije MPU) u gotovo stopostotnom iznosu kroz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Izvor financiranja 11 – Opći prihodi i primici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(ostvareno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898.047,04 eura</w:t>
      </w:r>
      <w:r w:rsidRPr="003A0AB7">
        <w:rPr>
          <w:rFonts w:eastAsia="Times New Roman" w:cstheme="minorHAnsi"/>
          <w:sz w:val="24"/>
          <w:szCs w:val="24"/>
          <w:lang w:eastAsia="hr-HR"/>
        </w:rPr>
        <w:t>). Planirani vlastiti prihodi (Izvor 31) u iznosu od 2.000,00 eura u prvom polugodištu bilježe nulto ostvarenje.</w:t>
      </w:r>
    </w:p>
    <w:p w:rsidR="003A0AB7" w:rsidRPr="003A0AB7" w:rsidRDefault="003A0AB7" w:rsidP="003A0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A0AB7">
        <w:rPr>
          <w:rFonts w:eastAsia="Times New Roman" w:cstheme="minorHAnsi"/>
          <w:bCs/>
          <w:sz w:val="24"/>
          <w:szCs w:val="24"/>
          <w:lang w:eastAsia="hr-HR"/>
        </w:rPr>
        <w:t>Izvještaj o rashodima prema funkcijskoj klasifikaciji: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Svi rashodi iskazani su pod funkcijskom klasifikacijom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033 Sudovi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u ukupnom iznosu od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898.047,04 eura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, što u indeksu ostvarenja čini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47,94%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tekućeg plana.</w:t>
      </w:r>
    </w:p>
    <w:p w:rsidR="003A0AB7" w:rsidRPr="003A0AB7" w:rsidRDefault="003A0AB7" w:rsidP="003A0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A0AB7">
        <w:rPr>
          <w:rFonts w:eastAsia="Times New Roman" w:cstheme="minorHAnsi"/>
          <w:bCs/>
          <w:sz w:val="24"/>
          <w:szCs w:val="24"/>
          <w:lang w:eastAsia="hr-HR"/>
        </w:rPr>
        <w:t>Posebni dio (Programska klasifikacija):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Unutar aktivnosti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A2812 Djelovanje državnih odvjetništava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, ukupno izvršenje iznosi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898.047,04 eura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odnosno </w:t>
      </w:r>
      <w:r w:rsidRPr="003A0AB7">
        <w:rPr>
          <w:rFonts w:eastAsia="Times New Roman" w:cstheme="minorHAnsi"/>
          <w:bCs/>
          <w:sz w:val="24"/>
          <w:szCs w:val="24"/>
          <w:lang w:eastAsia="hr-HR"/>
        </w:rPr>
        <w:t>47,94%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u odnosu na tekući plan.</w:t>
      </w:r>
    </w:p>
    <w:p w:rsidR="00D72EDF" w:rsidRPr="00AF4A66" w:rsidRDefault="003A0AB7" w:rsidP="00D72E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A0AB7">
        <w:rPr>
          <w:rFonts w:eastAsia="Times New Roman" w:cstheme="minorHAnsi"/>
          <w:bCs/>
          <w:sz w:val="24"/>
          <w:szCs w:val="24"/>
          <w:lang w:eastAsia="hr-HR"/>
        </w:rPr>
        <w:t>Usporedba izvornog i tekućeg plana:</w:t>
      </w:r>
      <w:r w:rsidRPr="003A0AB7">
        <w:rPr>
          <w:rFonts w:eastAsia="Times New Roman" w:cstheme="minorHAnsi"/>
          <w:sz w:val="24"/>
          <w:szCs w:val="24"/>
          <w:lang w:eastAsia="hr-HR"/>
        </w:rPr>
        <w:t xml:space="preserve"> S obzirom na to da u promatranom razdoblju nije bilo preraspodjela sredstava, kolone „izvorni plan“ i „tekući plan“ u priloženim tablicama u potpunosti su identične.</w:t>
      </w:r>
    </w:p>
    <w:p w:rsidR="007469B9" w:rsidRPr="00AF4A66" w:rsidRDefault="007469B9" w:rsidP="00D72ED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D72EDF" w:rsidRPr="003A0AB7" w:rsidRDefault="00D72EDF" w:rsidP="00D72ED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3A0AB7" w:rsidRPr="003A0AB7" w:rsidRDefault="003A0AB7" w:rsidP="00D72ED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A0AB7">
        <w:rPr>
          <w:rFonts w:eastAsia="Times New Roman" w:cstheme="minorHAnsi"/>
          <w:sz w:val="24"/>
          <w:szCs w:val="24"/>
          <w:lang w:eastAsia="hr-HR"/>
        </w:rPr>
        <w:t>U Puli-Pola, 02. srpnja 2026. godine</w:t>
      </w:r>
    </w:p>
    <w:sectPr w:rsidR="003A0AB7" w:rsidRPr="003A0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3EB1"/>
    <w:multiLevelType w:val="multilevel"/>
    <w:tmpl w:val="79F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B7"/>
    <w:rsid w:val="000070C5"/>
    <w:rsid w:val="003A0AB7"/>
    <w:rsid w:val="004544F8"/>
    <w:rsid w:val="007469B9"/>
    <w:rsid w:val="008B2934"/>
    <w:rsid w:val="00AF4A66"/>
    <w:rsid w:val="00D7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2DA9"/>
  <w15:chartTrackingRefBased/>
  <w15:docId w15:val="{3399A587-C57E-4DB0-9ADE-6F96681C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3A0A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3A0AB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3A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D72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Brščić Vitasović</dc:creator>
  <cp:keywords/>
  <dc:description/>
  <cp:lastModifiedBy>Mirjana Brščić Vitasović</cp:lastModifiedBy>
  <cp:revision>2</cp:revision>
  <dcterms:created xsi:type="dcterms:W3CDTF">2026-07-02T08:19:00Z</dcterms:created>
  <dcterms:modified xsi:type="dcterms:W3CDTF">2026-07-02T11:11:00Z</dcterms:modified>
</cp:coreProperties>
</file>